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BDB5" w14:textId="1ABE8EDA" w:rsidR="00F06E14" w:rsidRPr="00123733" w:rsidRDefault="00123733" w:rsidP="00DB4FAD">
      <w:pPr>
        <w:pStyle w:val="ACMAReportTitle"/>
      </w:pPr>
      <w:r w:rsidRPr="00123733">
        <w:t xml:space="preserve">Political </w:t>
      </w:r>
      <w:r w:rsidR="00D84CCD">
        <w:t xml:space="preserve">and election </w:t>
      </w:r>
      <w:r w:rsidRPr="00123733">
        <w:t xml:space="preserve">matter guidelines </w:t>
      </w:r>
    </w:p>
    <w:p w14:paraId="2EE0B853" w14:textId="54FFC07E" w:rsidR="00F06E14" w:rsidRPr="00667525" w:rsidRDefault="000A5257" w:rsidP="00667525">
      <w:pPr>
        <w:pStyle w:val="ACMAReportDate"/>
      </w:pPr>
      <w:r>
        <w:t xml:space="preserve">AUGUST </w:t>
      </w:r>
      <w:bookmarkStart w:id="0" w:name="_GoBack"/>
      <w:bookmarkEnd w:id="0"/>
      <w:r w:rsidR="00F43C7A" w:rsidRPr="00073337">
        <w:t>2019</w:t>
      </w:r>
    </w:p>
    <w:p w14:paraId="6E2FE652" w14:textId="77777777" w:rsidR="00C97736" w:rsidRPr="000D76E0" w:rsidRDefault="00C97736" w:rsidP="0041071D">
      <w:pPr>
        <w:rPr>
          <w:rFonts w:cs="Arial"/>
        </w:rPr>
      </w:pPr>
    </w:p>
    <w:p w14:paraId="3EA3BF0A" w14:textId="77777777" w:rsidR="00C97736" w:rsidRPr="000D76E0" w:rsidRDefault="00C97736" w:rsidP="0041071D">
      <w:pPr>
        <w:rPr>
          <w:rFonts w:cs="Arial"/>
        </w:rPr>
        <w:sectPr w:rsidR="00C97736" w:rsidRPr="000D76E0" w:rsidSect="004F556E">
          <w:headerReference w:type="even" r:id="rId8"/>
          <w:headerReference w:type="default" r:id="rId9"/>
          <w:footerReference w:type="default" r:id="rId10"/>
          <w:headerReference w:type="first" r:id="rId11"/>
          <w:pgSz w:w="11906" w:h="16838" w:code="9"/>
          <w:pgMar w:top="3924" w:right="1797" w:bottom="1440" w:left="1134" w:header="709" w:footer="454" w:gutter="0"/>
          <w:cols w:space="708"/>
          <w:docGrid w:linePitch="360"/>
        </w:sectPr>
      </w:pPr>
    </w:p>
    <w:p w14:paraId="2AE4C82A" w14:textId="77777777" w:rsidR="0005011A" w:rsidRPr="00F44F3A" w:rsidRDefault="0005011A" w:rsidP="00FC07B9">
      <w:pPr>
        <w:pStyle w:val="ACMACorporateAddressHeader"/>
      </w:pPr>
      <w:r w:rsidRPr="00F44F3A">
        <w:lastRenderedPageBreak/>
        <w:t>Canberra</w:t>
      </w:r>
    </w:p>
    <w:p w14:paraId="25DFAB75" w14:textId="77777777" w:rsidR="0005011A" w:rsidRPr="00FC07B9" w:rsidRDefault="0005011A" w:rsidP="00FC07B9">
      <w:pPr>
        <w:pStyle w:val="ACMACorporateAddresses"/>
      </w:pPr>
      <w:r w:rsidRPr="00FC07B9">
        <w:t xml:space="preserve">Red Building </w:t>
      </w:r>
      <w:r w:rsidRPr="00FC07B9">
        <w:br/>
        <w:t>Benjamin Offices</w:t>
      </w:r>
      <w:r w:rsidRPr="00FC07B9">
        <w:br/>
        <w:t xml:space="preserve">Chan Street </w:t>
      </w:r>
      <w:r w:rsidRPr="00FC07B9">
        <w:br/>
        <w:t>Belconnen ACT</w:t>
      </w:r>
    </w:p>
    <w:p w14:paraId="10C163D3" w14:textId="77777777" w:rsidR="0005011A" w:rsidRPr="00FC07B9" w:rsidRDefault="0005011A" w:rsidP="00FC07B9">
      <w:pPr>
        <w:pStyle w:val="ACMACorporateAddresses"/>
      </w:pPr>
      <w:r w:rsidRPr="00FC07B9">
        <w:t>PO Box 78</w:t>
      </w:r>
      <w:r w:rsidRPr="00FC07B9">
        <w:br/>
        <w:t>Belconnen ACT 2616</w:t>
      </w:r>
    </w:p>
    <w:p w14:paraId="661F5198" w14:textId="77777777" w:rsidR="00FE1823" w:rsidRPr="00FC07B9" w:rsidRDefault="0005011A" w:rsidP="00FC07B9">
      <w:pPr>
        <w:pStyle w:val="ACMACorporateAddresses"/>
      </w:pPr>
      <w:r w:rsidRPr="00FC07B9">
        <w:t>T</w:t>
      </w:r>
      <w:r w:rsidR="00537604" w:rsidRPr="00FC07B9">
        <w:tab/>
      </w:r>
      <w:r w:rsidRPr="00FC07B9">
        <w:t>+61 2 6219 5555</w:t>
      </w:r>
      <w:r w:rsidRPr="00FC07B9">
        <w:br/>
        <w:t>F</w:t>
      </w:r>
      <w:r w:rsidR="00537604" w:rsidRPr="00FC07B9">
        <w:tab/>
      </w:r>
      <w:r w:rsidRPr="00FC07B9">
        <w:t>+61 2 6219 5353</w:t>
      </w:r>
    </w:p>
    <w:p w14:paraId="5A8A1A0C" w14:textId="77777777" w:rsidR="0005011A" w:rsidRPr="00F44F3A" w:rsidRDefault="0005011A" w:rsidP="00FC07B9">
      <w:pPr>
        <w:pStyle w:val="ACMACorporateAddressHeader"/>
      </w:pPr>
      <w:r w:rsidRPr="00F44F3A">
        <w:t>Melbourne</w:t>
      </w:r>
    </w:p>
    <w:p w14:paraId="7F16126D" w14:textId="77777777" w:rsidR="0005011A" w:rsidRPr="00F44F3A" w:rsidRDefault="0005011A" w:rsidP="00FC07B9">
      <w:pPr>
        <w:pStyle w:val="ACMACorporateAddresses"/>
      </w:pPr>
      <w:r w:rsidRPr="00F44F3A">
        <w:t xml:space="preserve">Level 32 </w:t>
      </w:r>
      <w:r w:rsidRPr="00F44F3A">
        <w:br/>
        <w:t>Melbourne Central Tower</w:t>
      </w:r>
      <w:r w:rsidRPr="00F44F3A">
        <w:br/>
        <w:t xml:space="preserve">360 Elizabeth Street </w:t>
      </w:r>
      <w:r w:rsidR="008C10F4" w:rsidRPr="00F44F3A">
        <w:br/>
      </w:r>
      <w:r w:rsidRPr="00F44F3A">
        <w:t>Melbourne VIC</w:t>
      </w:r>
    </w:p>
    <w:p w14:paraId="0CCDD829" w14:textId="77777777" w:rsidR="0005011A" w:rsidRPr="00F44F3A" w:rsidRDefault="0005011A" w:rsidP="00FC07B9">
      <w:pPr>
        <w:pStyle w:val="ACMACorporateAddresses"/>
      </w:pPr>
      <w:r w:rsidRPr="00F44F3A">
        <w:t>PO Box 13112</w:t>
      </w:r>
      <w:r w:rsidRPr="00F44F3A">
        <w:br/>
        <w:t xml:space="preserve">Law Courts </w:t>
      </w:r>
      <w:r w:rsidRPr="00F44F3A">
        <w:br/>
        <w:t>Melbourne VIC 8010</w:t>
      </w:r>
    </w:p>
    <w:p w14:paraId="4FEA5A69" w14:textId="77777777" w:rsidR="0005011A" w:rsidRPr="00F44F3A" w:rsidRDefault="0005011A" w:rsidP="00FC07B9">
      <w:pPr>
        <w:pStyle w:val="ACMACorporateAddresses"/>
      </w:pPr>
      <w:r w:rsidRPr="00F44F3A">
        <w:t>T</w:t>
      </w:r>
      <w:r w:rsidR="00140318" w:rsidRPr="00F44F3A">
        <w:tab/>
      </w:r>
      <w:r w:rsidRPr="00F44F3A">
        <w:t>+61 3 9963 6800</w:t>
      </w:r>
      <w:r w:rsidRPr="00F44F3A">
        <w:br/>
        <w:t>F</w:t>
      </w:r>
      <w:r w:rsidR="00140318" w:rsidRPr="00F44F3A">
        <w:tab/>
      </w:r>
      <w:r w:rsidRPr="00F44F3A">
        <w:t>+61 3 9963 6899</w:t>
      </w:r>
    </w:p>
    <w:p w14:paraId="6C9B4CDA" w14:textId="77777777" w:rsidR="0005011A" w:rsidRPr="00F44F3A" w:rsidRDefault="0005011A" w:rsidP="00FC07B9">
      <w:pPr>
        <w:pStyle w:val="ACMACorporateAddressHeader"/>
      </w:pPr>
      <w:r w:rsidRPr="00F44F3A">
        <w:t>Sydney</w:t>
      </w:r>
    </w:p>
    <w:p w14:paraId="1CE037D1" w14:textId="77777777" w:rsidR="0005011A" w:rsidRPr="00F44F3A" w:rsidRDefault="0005011A" w:rsidP="00FC07B9">
      <w:pPr>
        <w:pStyle w:val="ACMACorporateAddresses"/>
      </w:pPr>
      <w:r w:rsidRPr="00F44F3A">
        <w:t xml:space="preserve">Level 5 </w:t>
      </w:r>
      <w:r w:rsidRPr="00F44F3A">
        <w:br/>
        <w:t>The Bay Centre</w:t>
      </w:r>
      <w:r w:rsidRPr="00F44F3A">
        <w:br/>
        <w:t xml:space="preserve">65 Pirrama Road </w:t>
      </w:r>
      <w:r w:rsidRPr="00F44F3A">
        <w:br/>
        <w:t>Pyrmont NSW</w:t>
      </w:r>
    </w:p>
    <w:p w14:paraId="60CA00B3" w14:textId="77777777" w:rsidR="0005011A" w:rsidRPr="00F44F3A" w:rsidRDefault="0005011A" w:rsidP="00FC07B9">
      <w:pPr>
        <w:pStyle w:val="ACMACorporateAddresses"/>
      </w:pPr>
      <w:r w:rsidRPr="00F44F3A">
        <w:t>PO Box Q500</w:t>
      </w:r>
      <w:r w:rsidRPr="00F44F3A">
        <w:br/>
        <w:t xml:space="preserve">Queen Victoria Building </w:t>
      </w:r>
      <w:r w:rsidRPr="00F44F3A">
        <w:br/>
        <w:t>NSW 1230</w:t>
      </w:r>
    </w:p>
    <w:p w14:paraId="4089C093" w14:textId="77777777" w:rsidR="0005011A" w:rsidRPr="00F44F3A" w:rsidRDefault="0005011A" w:rsidP="00FC07B9">
      <w:pPr>
        <w:pStyle w:val="ACMACorporateAddresses"/>
      </w:pPr>
      <w:r w:rsidRPr="00F44F3A">
        <w:t>T</w:t>
      </w:r>
      <w:r w:rsidR="00140318" w:rsidRPr="00F44F3A">
        <w:tab/>
      </w:r>
      <w:r w:rsidRPr="00F44F3A">
        <w:t>+61 2 9334 7700</w:t>
      </w:r>
      <w:r w:rsidR="00140318" w:rsidRPr="00F44F3A">
        <w:t xml:space="preserve"> or</w:t>
      </w:r>
      <w:r w:rsidRPr="00F44F3A">
        <w:t xml:space="preserve"> 1800 226 667</w:t>
      </w:r>
      <w:r w:rsidRPr="00F44F3A">
        <w:br/>
        <w:t>F</w:t>
      </w:r>
      <w:r w:rsidR="00140318" w:rsidRPr="00F44F3A">
        <w:tab/>
      </w:r>
      <w:r w:rsidRPr="00F44F3A">
        <w:t>+61 2 9334 7799</w:t>
      </w:r>
    </w:p>
    <w:p w14:paraId="7FAD904E" w14:textId="77777777" w:rsidR="00140318" w:rsidRPr="006D46E5" w:rsidRDefault="00140318" w:rsidP="00FC07B9">
      <w:pPr>
        <w:pStyle w:val="ACMACopyrightHeader"/>
      </w:pPr>
      <w:r w:rsidRPr="00140318">
        <w:t>Copyright notice</w:t>
      </w:r>
    </w:p>
    <w:p w14:paraId="4085F66C" w14:textId="77777777" w:rsidR="00140318" w:rsidRPr="006D46E5" w:rsidRDefault="00623FF9" w:rsidP="00623FF9">
      <w:pPr>
        <w:pStyle w:val="ACMACClogo"/>
      </w:pPr>
      <w:r w:rsidRPr="00623FF9">
        <w:rPr>
          <w:noProof/>
        </w:rPr>
        <w:drawing>
          <wp:inline distT="0" distB="0" distL="0" distR="0" wp14:anchorId="4CF16C48" wp14:editId="64D3E95C">
            <wp:extent cx="838200" cy="295275"/>
            <wp:effectExtent l="0" t="0" r="0" b="0"/>
            <wp:docPr id="1" name="Picture 1" title="Creative Commons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y">
                      <a:hlinkClick r:id="rId12"/>
                    </pic:cNvPr>
                    <pic:cNvPicPr>
                      <a:picLocks noChangeAspect="1" noChangeArrowheads="1"/>
                    </pic:cNvPicPr>
                  </pic:nvPicPr>
                  <pic:blipFill>
                    <a:blip r:embed="rId13" cstate="print"/>
                    <a:srcRect/>
                    <a:stretch>
                      <a:fillRect/>
                    </a:stretch>
                  </pic:blipFill>
                  <pic:spPr bwMode="auto">
                    <a:xfrm>
                      <a:off x="0" y="0"/>
                      <a:ext cx="838200" cy="295275"/>
                    </a:xfrm>
                    <a:prstGeom prst="rect">
                      <a:avLst/>
                    </a:prstGeom>
                    <a:noFill/>
                  </pic:spPr>
                </pic:pic>
              </a:graphicData>
            </a:graphic>
          </wp:inline>
        </w:drawing>
      </w:r>
    </w:p>
    <w:p w14:paraId="6E4B7143" w14:textId="77777777" w:rsidR="00AA2DE5" w:rsidRDefault="006D34F5" w:rsidP="00AA2DE5">
      <w:pPr>
        <w:pStyle w:val="ACMACorporateAddresses"/>
        <w:rPr>
          <w:rStyle w:val="Hyperlink"/>
        </w:rPr>
      </w:pPr>
      <w:hyperlink r:id="rId14" w:history="1">
        <w:r w:rsidR="00AA2DE5">
          <w:rPr>
            <w:rStyle w:val="Hyperlink"/>
          </w:rPr>
          <w:t>https://creativecommons.org/licenses/by/4.0//</w:t>
        </w:r>
      </w:hyperlink>
    </w:p>
    <w:p w14:paraId="5F4503FC" w14:textId="77777777" w:rsidR="00AA2DE5" w:rsidRDefault="00AA2DE5" w:rsidP="00AA2DE5">
      <w:pPr>
        <w:pStyle w:val="ACMACorporateAddresses"/>
      </w:pPr>
      <w:r>
        <w:t xml:space="preserve">With the exception of coats of arms, logos, emblems, images, other third-party material or devices protected by a trademark, this content is made available under the terms of the Creative Commons Attribution 4.0 International (CC BY 4.0) licence. </w:t>
      </w:r>
    </w:p>
    <w:p w14:paraId="75B6C312" w14:textId="3CE4CD11" w:rsidR="00AA2DE5" w:rsidRDefault="00AA2DE5" w:rsidP="00AA2DE5">
      <w:pPr>
        <w:pStyle w:val="ACMACorporateAddresses"/>
      </w:pPr>
      <w:r>
        <w:t xml:space="preserve">We request attribution as © Commonwealth of Australia (Australian Communications and Media Authority) </w:t>
      </w:r>
      <w:r w:rsidR="00F43C7A">
        <w:t>2019</w:t>
      </w:r>
      <w:r>
        <w:t>.</w:t>
      </w:r>
    </w:p>
    <w:p w14:paraId="7F667249" w14:textId="77777777" w:rsidR="00AA2DE5" w:rsidRDefault="00AA2DE5" w:rsidP="00AA2DE5">
      <w:pPr>
        <w:pStyle w:val="ACMACorporateAddresses"/>
      </w:pPr>
      <w:r>
        <w:t>All other rights are reserved.</w:t>
      </w:r>
    </w:p>
    <w:p w14:paraId="183B5854" w14:textId="77777777" w:rsidR="00AA2DE5" w:rsidRDefault="00AA2DE5" w:rsidP="00AA2DE5">
      <w:pPr>
        <w:pStyle w:val="ACMACorporateAddresses"/>
      </w:pPr>
      <w:r>
        <w:t xml:space="preserve">The Australian Communications and Media Authority has undertaken reasonable enquiries to identify material owned by third parties and secure permission for its reproduction. Permission may need to be obtained from third parties to re-use their material. </w:t>
      </w:r>
    </w:p>
    <w:p w14:paraId="37B84118" w14:textId="77777777" w:rsidR="00AA2DE5" w:rsidRDefault="00AA2DE5" w:rsidP="00AA2DE5">
      <w:pPr>
        <w:pStyle w:val="ACMACorporateAddresses"/>
      </w:pPr>
      <w:r>
        <w:t>Written enquiries may be sent to:</w:t>
      </w:r>
    </w:p>
    <w:p w14:paraId="32A60080" w14:textId="77777777" w:rsidR="00AA2DE5" w:rsidRDefault="00AA2DE5" w:rsidP="00AA2DE5">
      <w:pPr>
        <w:pStyle w:val="ACMACorporateAddresses"/>
        <w:rPr>
          <w:rStyle w:val="Hyperlink"/>
        </w:rPr>
      </w:pPr>
      <w:r>
        <w:t>Manager, Editorial and Design</w:t>
      </w:r>
      <w:r>
        <w:br/>
        <w:t>PO Box 13112</w:t>
      </w:r>
      <w:r>
        <w:br/>
        <w:t>Law Courts</w:t>
      </w:r>
      <w:r>
        <w:br/>
        <w:t>Melbourne VIC 8010</w:t>
      </w:r>
      <w:r>
        <w:br/>
        <w:t xml:space="preserve">Email: </w:t>
      </w:r>
      <w:hyperlink r:id="rId15" w:history="1">
        <w:r>
          <w:rPr>
            <w:rStyle w:val="Hyperlink"/>
          </w:rPr>
          <w:t>info@acma.gov.au</w:t>
        </w:r>
      </w:hyperlink>
    </w:p>
    <w:p w14:paraId="256DEC9E" w14:textId="77777777" w:rsidR="00D16FE3" w:rsidRDefault="00D16FE3" w:rsidP="00D16FE3">
      <w:pPr>
        <w:pStyle w:val="ACMACorporateAddresses"/>
        <w:rPr>
          <w:rStyle w:val="Hyperlink"/>
        </w:rPr>
      </w:pPr>
    </w:p>
    <w:p w14:paraId="051B3322" w14:textId="77777777" w:rsidR="00D16FE3" w:rsidRPr="00D16FE3" w:rsidRDefault="00D16FE3" w:rsidP="00D16FE3">
      <w:pPr>
        <w:pStyle w:val="ACMACorporateAddresses"/>
        <w:sectPr w:rsidR="00D16FE3" w:rsidRPr="00D16FE3">
          <w:headerReference w:type="even" r:id="rId16"/>
          <w:headerReference w:type="default" r:id="rId17"/>
          <w:footerReference w:type="even" r:id="rId18"/>
          <w:footerReference w:type="default" r:id="rId19"/>
          <w:headerReference w:type="first" r:id="rId20"/>
          <w:pgSz w:w="11906" w:h="16838" w:code="9"/>
          <w:pgMar w:top="3924" w:right="1797" w:bottom="697" w:left="1134" w:header="709" w:footer="119" w:gutter="0"/>
          <w:cols w:space="708"/>
          <w:docGrid w:linePitch="360"/>
        </w:sectPr>
      </w:pPr>
    </w:p>
    <w:p w14:paraId="67B5A093" w14:textId="0BE7B5FA" w:rsidR="001638A2" w:rsidRDefault="007A6CC0">
      <w:pPr>
        <w:pStyle w:val="TOC1"/>
        <w:rPr>
          <w:rFonts w:asciiTheme="minorHAnsi" w:eastAsiaTheme="minorEastAsia" w:hAnsiTheme="minorHAnsi" w:cstheme="minorBidi"/>
          <w:b w:val="0"/>
          <w:spacing w:val="0"/>
          <w:sz w:val="22"/>
          <w:szCs w:val="22"/>
        </w:rPr>
      </w:pPr>
      <w:r>
        <w:rPr>
          <w:rFonts w:cs="Arial"/>
          <w:b w:val="0"/>
        </w:rPr>
        <w:lastRenderedPageBreak/>
        <w:fldChar w:fldCharType="begin"/>
      </w:r>
      <w:r>
        <w:rPr>
          <w:rFonts w:cs="Arial"/>
          <w:b w:val="0"/>
        </w:rPr>
        <w:instrText xml:space="preserve"> TOC \o "1-3" \t "ACMA_ExecSummaryHeading,1" </w:instrText>
      </w:r>
      <w:r>
        <w:rPr>
          <w:rFonts w:cs="Arial"/>
          <w:b w:val="0"/>
        </w:rPr>
        <w:fldChar w:fldCharType="separate"/>
      </w:r>
      <w:r w:rsidR="001638A2">
        <w:t>Political and election matter guidelines</w:t>
      </w:r>
      <w:r w:rsidR="001638A2">
        <w:tab/>
      </w:r>
      <w:r w:rsidR="001638A2">
        <w:fldChar w:fldCharType="begin"/>
      </w:r>
      <w:r w:rsidR="001638A2">
        <w:instrText xml:space="preserve"> PAGEREF _Toc10638987 \h </w:instrText>
      </w:r>
      <w:r w:rsidR="001638A2">
        <w:fldChar w:fldCharType="separate"/>
      </w:r>
      <w:r w:rsidR="001638A2">
        <w:t>1</w:t>
      </w:r>
      <w:r w:rsidR="001638A2">
        <w:fldChar w:fldCharType="end"/>
      </w:r>
    </w:p>
    <w:p w14:paraId="3DDE1EEA" w14:textId="3D96DBDE" w:rsidR="001638A2" w:rsidRDefault="001638A2">
      <w:pPr>
        <w:pStyle w:val="TOC2"/>
        <w:rPr>
          <w:rFonts w:asciiTheme="minorHAnsi" w:eastAsiaTheme="minorEastAsia" w:hAnsiTheme="minorHAnsi" w:cstheme="minorBidi"/>
          <w:spacing w:val="0"/>
          <w:sz w:val="22"/>
          <w:szCs w:val="22"/>
        </w:rPr>
      </w:pPr>
      <w:r>
        <w:t>Introduction</w:t>
      </w:r>
      <w:r>
        <w:tab/>
      </w:r>
      <w:r>
        <w:fldChar w:fldCharType="begin"/>
      </w:r>
      <w:r>
        <w:instrText xml:space="preserve"> PAGEREF _Toc10638988 \h </w:instrText>
      </w:r>
      <w:r>
        <w:fldChar w:fldCharType="separate"/>
      </w:r>
      <w:r>
        <w:t>1</w:t>
      </w:r>
      <w:r>
        <w:fldChar w:fldCharType="end"/>
      </w:r>
    </w:p>
    <w:p w14:paraId="0D54C5FC" w14:textId="4B1CA586" w:rsidR="001638A2" w:rsidRDefault="001638A2">
      <w:pPr>
        <w:pStyle w:val="TOC3"/>
        <w:rPr>
          <w:rFonts w:asciiTheme="minorHAnsi" w:eastAsiaTheme="minorEastAsia" w:hAnsiTheme="minorHAnsi" w:cstheme="minorBidi"/>
        </w:rPr>
      </w:pPr>
      <w:r>
        <w:t>Political and election matter</w:t>
      </w:r>
      <w:r>
        <w:tab/>
      </w:r>
      <w:r>
        <w:fldChar w:fldCharType="begin"/>
      </w:r>
      <w:r>
        <w:instrText xml:space="preserve"> PAGEREF _Toc10638989 \h </w:instrText>
      </w:r>
      <w:r>
        <w:fldChar w:fldCharType="separate"/>
      </w:r>
      <w:r>
        <w:t>1</w:t>
      </w:r>
      <w:r>
        <w:fldChar w:fldCharType="end"/>
      </w:r>
    </w:p>
    <w:p w14:paraId="083C1943" w14:textId="2D2D469D" w:rsidR="001638A2" w:rsidRDefault="001638A2">
      <w:pPr>
        <w:pStyle w:val="TOC3"/>
        <w:rPr>
          <w:rFonts w:asciiTheme="minorHAnsi" w:eastAsiaTheme="minorEastAsia" w:hAnsiTheme="minorHAnsi" w:cstheme="minorBidi"/>
        </w:rPr>
      </w:pPr>
      <w:r>
        <w:t>Who do the rules apply to?</w:t>
      </w:r>
      <w:r>
        <w:tab/>
      </w:r>
      <w:r>
        <w:fldChar w:fldCharType="begin"/>
      </w:r>
      <w:r>
        <w:instrText xml:space="preserve"> PAGEREF _Toc10638990 \h </w:instrText>
      </w:r>
      <w:r>
        <w:fldChar w:fldCharType="separate"/>
      </w:r>
      <w:r>
        <w:t>1</w:t>
      </w:r>
      <w:r>
        <w:fldChar w:fldCharType="end"/>
      </w:r>
    </w:p>
    <w:p w14:paraId="04A1C21C" w14:textId="7D796C41" w:rsidR="001638A2" w:rsidRDefault="001638A2">
      <w:pPr>
        <w:pStyle w:val="TOC3"/>
        <w:rPr>
          <w:rFonts w:asciiTheme="minorHAnsi" w:eastAsiaTheme="minorEastAsia" w:hAnsiTheme="minorHAnsi" w:cstheme="minorBidi"/>
        </w:rPr>
      </w:pPr>
      <w:r>
        <w:t>Complaints and enforcement</w:t>
      </w:r>
      <w:r>
        <w:tab/>
      </w:r>
      <w:r>
        <w:fldChar w:fldCharType="begin"/>
      </w:r>
      <w:r>
        <w:instrText xml:space="preserve"> PAGEREF _Toc10638991 \h </w:instrText>
      </w:r>
      <w:r>
        <w:fldChar w:fldCharType="separate"/>
      </w:r>
      <w:r>
        <w:t>1</w:t>
      </w:r>
      <w:r>
        <w:fldChar w:fldCharType="end"/>
      </w:r>
    </w:p>
    <w:p w14:paraId="4CA06A70" w14:textId="0C677D26" w:rsidR="001638A2" w:rsidRDefault="001638A2">
      <w:pPr>
        <w:pStyle w:val="TOC3"/>
        <w:rPr>
          <w:rFonts w:asciiTheme="minorHAnsi" w:eastAsiaTheme="minorEastAsia" w:hAnsiTheme="minorHAnsi" w:cstheme="minorBidi"/>
        </w:rPr>
      </w:pPr>
      <w:r>
        <w:t>Election matter on other platforms</w:t>
      </w:r>
      <w:r>
        <w:tab/>
      </w:r>
      <w:r>
        <w:fldChar w:fldCharType="begin"/>
      </w:r>
      <w:r>
        <w:instrText xml:space="preserve"> PAGEREF _Toc10638992 \h </w:instrText>
      </w:r>
      <w:r>
        <w:fldChar w:fldCharType="separate"/>
      </w:r>
      <w:r>
        <w:t>2</w:t>
      </w:r>
      <w:r>
        <w:fldChar w:fldCharType="end"/>
      </w:r>
    </w:p>
    <w:p w14:paraId="4120225B" w14:textId="139C3DF3" w:rsidR="001638A2" w:rsidRDefault="001638A2">
      <w:pPr>
        <w:pStyle w:val="TOC3"/>
        <w:rPr>
          <w:rFonts w:asciiTheme="minorHAnsi" w:eastAsiaTheme="minorEastAsia" w:hAnsiTheme="minorHAnsi" w:cstheme="minorBidi"/>
        </w:rPr>
      </w:pPr>
      <w:r>
        <w:t>Reviewing these guidelines</w:t>
      </w:r>
      <w:r>
        <w:tab/>
      </w:r>
      <w:r>
        <w:fldChar w:fldCharType="begin"/>
      </w:r>
      <w:r>
        <w:instrText xml:space="preserve"> PAGEREF _Toc10638993 \h </w:instrText>
      </w:r>
      <w:r>
        <w:fldChar w:fldCharType="separate"/>
      </w:r>
      <w:r>
        <w:t>2</w:t>
      </w:r>
      <w:r>
        <w:fldChar w:fldCharType="end"/>
      </w:r>
    </w:p>
    <w:p w14:paraId="08D2C478" w14:textId="559BC71B" w:rsidR="001638A2" w:rsidRDefault="001638A2">
      <w:pPr>
        <w:pStyle w:val="TOC3"/>
        <w:rPr>
          <w:rFonts w:asciiTheme="minorHAnsi" w:eastAsiaTheme="minorEastAsia" w:hAnsiTheme="minorHAnsi" w:cstheme="minorBidi"/>
        </w:rPr>
      </w:pPr>
      <w:r>
        <w:t>Legislation</w:t>
      </w:r>
      <w:r>
        <w:tab/>
      </w:r>
      <w:r>
        <w:fldChar w:fldCharType="begin"/>
      </w:r>
      <w:r>
        <w:instrText xml:space="preserve"> PAGEREF _Toc10638994 \h </w:instrText>
      </w:r>
      <w:r>
        <w:fldChar w:fldCharType="separate"/>
      </w:r>
      <w:r>
        <w:t>2</w:t>
      </w:r>
      <w:r>
        <w:fldChar w:fldCharType="end"/>
      </w:r>
    </w:p>
    <w:p w14:paraId="18C7E70B" w14:textId="2A303E0C" w:rsidR="001638A2" w:rsidRDefault="001638A2">
      <w:pPr>
        <w:pStyle w:val="TOC1"/>
        <w:rPr>
          <w:rFonts w:asciiTheme="minorHAnsi" w:eastAsiaTheme="minorEastAsia" w:hAnsiTheme="minorHAnsi" w:cstheme="minorBidi"/>
          <w:b w:val="0"/>
          <w:spacing w:val="0"/>
          <w:sz w:val="22"/>
          <w:szCs w:val="22"/>
        </w:rPr>
      </w:pPr>
      <w:r>
        <w:t>Political matter</w:t>
      </w:r>
      <w:r>
        <w:tab/>
      </w:r>
      <w:r>
        <w:fldChar w:fldCharType="begin"/>
      </w:r>
      <w:r>
        <w:instrText xml:space="preserve"> PAGEREF _Toc10638995 \h </w:instrText>
      </w:r>
      <w:r>
        <w:fldChar w:fldCharType="separate"/>
      </w:r>
      <w:r>
        <w:t>3</w:t>
      </w:r>
      <w:r>
        <w:fldChar w:fldCharType="end"/>
      </w:r>
    </w:p>
    <w:p w14:paraId="47F7545B" w14:textId="4917EEFF" w:rsidR="001638A2" w:rsidRDefault="001638A2">
      <w:pPr>
        <w:pStyle w:val="TOC2"/>
        <w:rPr>
          <w:rFonts w:asciiTheme="minorHAnsi" w:eastAsiaTheme="minorEastAsia" w:hAnsiTheme="minorHAnsi" w:cstheme="minorBidi"/>
          <w:spacing w:val="0"/>
          <w:sz w:val="22"/>
          <w:szCs w:val="22"/>
        </w:rPr>
      </w:pPr>
      <w:r>
        <w:t>Broadcasting political matter—the basic rule</w:t>
      </w:r>
      <w:r>
        <w:tab/>
      </w:r>
      <w:r>
        <w:fldChar w:fldCharType="begin"/>
      </w:r>
      <w:r>
        <w:instrText xml:space="preserve"> PAGEREF _Toc10638996 \h </w:instrText>
      </w:r>
      <w:r>
        <w:fldChar w:fldCharType="separate"/>
      </w:r>
      <w:r>
        <w:t>3</w:t>
      </w:r>
      <w:r>
        <w:fldChar w:fldCharType="end"/>
      </w:r>
    </w:p>
    <w:p w14:paraId="766C0C35" w14:textId="2F565B15" w:rsidR="001638A2" w:rsidRDefault="001638A2">
      <w:pPr>
        <w:pStyle w:val="TOC2"/>
        <w:rPr>
          <w:rFonts w:asciiTheme="minorHAnsi" w:eastAsiaTheme="minorEastAsia" w:hAnsiTheme="minorHAnsi" w:cstheme="minorBidi"/>
          <w:spacing w:val="0"/>
          <w:sz w:val="22"/>
          <w:szCs w:val="22"/>
        </w:rPr>
      </w:pPr>
      <w:r>
        <w:t>Which licensees are included?</w:t>
      </w:r>
      <w:r>
        <w:tab/>
      </w:r>
      <w:r>
        <w:fldChar w:fldCharType="begin"/>
      </w:r>
      <w:r>
        <w:instrText xml:space="preserve"> PAGEREF _Toc10638997 \h </w:instrText>
      </w:r>
      <w:r>
        <w:fldChar w:fldCharType="separate"/>
      </w:r>
      <w:r>
        <w:t>3</w:t>
      </w:r>
      <w:r>
        <w:fldChar w:fldCharType="end"/>
      </w:r>
    </w:p>
    <w:p w14:paraId="2A1D55B3" w14:textId="2C9BEC28" w:rsidR="001638A2" w:rsidRDefault="001638A2">
      <w:pPr>
        <w:pStyle w:val="TOC2"/>
        <w:rPr>
          <w:rFonts w:asciiTheme="minorHAnsi" w:eastAsiaTheme="minorEastAsia" w:hAnsiTheme="minorHAnsi" w:cstheme="minorBidi"/>
          <w:spacing w:val="0"/>
          <w:sz w:val="22"/>
          <w:szCs w:val="22"/>
        </w:rPr>
      </w:pPr>
      <w:r>
        <w:t>What is ‘political matter’?</w:t>
      </w:r>
      <w:r>
        <w:tab/>
      </w:r>
      <w:r>
        <w:fldChar w:fldCharType="begin"/>
      </w:r>
      <w:r>
        <w:instrText xml:space="preserve"> PAGEREF _Toc10638998 \h </w:instrText>
      </w:r>
      <w:r>
        <w:fldChar w:fldCharType="separate"/>
      </w:r>
      <w:r>
        <w:t>3</w:t>
      </w:r>
      <w:r>
        <w:fldChar w:fldCharType="end"/>
      </w:r>
    </w:p>
    <w:p w14:paraId="426D8506" w14:textId="6B8728CA" w:rsidR="001638A2" w:rsidRDefault="001638A2">
      <w:pPr>
        <w:pStyle w:val="TOC3"/>
        <w:rPr>
          <w:rFonts w:asciiTheme="minorHAnsi" w:eastAsiaTheme="minorEastAsia" w:hAnsiTheme="minorHAnsi" w:cstheme="minorBidi"/>
        </w:rPr>
      </w:pPr>
      <w:r>
        <w:t>The content of the broadcast</w:t>
      </w:r>
      <w:r>
        <w:tab/>
      </w:r>
      <w:r>
        <w:fldChar w:fldCharType="begin"/>
      </w:r>
      <w:r>
        <w:instrText xml:space="preserve"> PAGEREF _Toc10638999 \h </w:instrText>
      </w:r>
      <w:r>
        <w:fldChar w:fldCharType="separate"/>
      </w:r>
      <w:r>
        <w:t>4</w:t>
      </w:r>
      <w:r>
        <w:fldChar w:fldCharType="end"/>
      </w:r>
    </w:p>
    <w:p w14:paraId="7E951E94" w14:textId="1EFE9585" w:rsidR="001638A2" w:rsidRDefault="001638A2">
      <w:pPr>
        <w:pStyle w:val="TOC3"/>
        <w:rPr>
          <w:rFonts w:asciiTheme="minorHAnsi" w:eastAsiaTheme="minorEastAsia" w:hAnsiTheme="minorHAnsi" w:cstheme="minorBidi"/>
        </w:rPr>
      </w:pPr>
      <w:r>
        <w:t>Promotion of brands, products or services is not determinative</w:t>
      </w:r>
      <w:r>
        <w:tab/>
      </w:r>
      <w:r>
        <w:fldChar w:fldCharType="begin"/>
      </w:r>
      <w:r>
        <w:instrText xml:space="preserve"> PAGEREF _Toc10639000 \h </w:instrText>
      </w:r>
      <w:r>
        <w:fldChar w:fldCharType="separate"/>
      </w:r>
      <w:r>
        <w:t>4</w:t>
      </w:r>
      <w:r>
        <w:fldChar w:fldCharType="end"/>
      </w:r>
    </w:p>
    <w:p w14:paraId="39C30715" w14:textId="295A1C06" w:rsidR="001638A2" w:rsidRDefault="001638A2">
      <w:pPr>
        <w:pStyle w:val="TOC3"/>
        <w:rPr>
          <w:rFonts w:asciiTheme="minorHAnsi" w:eastAsiaTheme="minorEastAsia" w:hAnsiTheme="minorHAnsi" w:cstheme="minorBidi"/>
        </w:rPr>
      </w:pPr>
      <w:r>
        <w:t>The overall presentation of the material, including the tone, style and emphasis</w:t>
      </w:r>
      <w:r>
        <w:tab/>
      </w:r>
      <w:r>
        <w:fldChar w:fldCharType="begin"/>
      </w:r>
      <w:r>
        <w:instrText xml:space="preserve"> PAGEREF _Toc10639001 \h </w:instrText>
      </w:r>
      <w:r>
        <w:fldChar w:fldCharType="separate"/>
      </w:r>
      <w:r>
        <w:t>4</w:t>
      </w:r>
      <w:r>
        <w:fldChar w:fldCharType="end"/>
      </w:r>
    </w:p>
    <w:p w14:paraId="09F37917" w14:textId="36B8D280" w:rsidR="001638A2" w:rsidRDefault="001638A2">
      <w:pPr>
        <w:pStyle w:val="TOC3"/>
        <w:rPr>
          <w:rFonts w:asciiTheme="minorHAnsi" w:eastAsiaTheme="minorEastAsia" w:hAnsiTheme="minorHAnsi" w:cstheme="minorBidi"/>
        </w:rPr>
      </w:pPr>
      <w:r>
        <w:t>The nature and style of accompanying audio or visual material</w:t>
      </w:r>
      <w:r>
        <w:tab/>
      </w:r>
      <w:r>
        <w:fldChar w:fldCharType="begin"/>
      </w:r>
      <w:r>
        <w:instrText xml:space="preserve"> PAGEREF _Toc10639002 \h </w:instrText>
      </w:r>
      <w:r>
        <w:fldChar w:fldCharType="separate"/>
      </w:r>
      <w:r>
        <w:t>5</w:t>
      </w:r>
      <w:r>
        <w:fldChar w:fldCharType="end"/>
      </w:r>
    </w:p>
    <w:p w14:paraId="5C790D45" w14:textId="22D3B9FB" w:rsidR="001638A2" w:rsidRDefault="001638A2">
      <w:pPr>
        <w:pStyle w:val="TOC3"/>
        <w:rPr>
          <w:rFonts w:asciiTheme="minorHAnsi" w:eastAsiaTheme="minorEastAsia" w:hAnsiTheme="minorHAnsi" w:cstheme="minorBidi"/>
        </w:rPr>
      </w:pPr>
      <w:r>
        <w:t>The context surrounding the broadcast</w:t>
      </w:r>
      <w:r>
        <w:tab/>
      </w:r>
      <w:r>
        <w:fldChar w:fldCharType="begin"/>
      </w:r>
      <w:r>
        <w:instrText xml:space="preserve"> PAGEREF _Toc10639003 \h </w:instrText>
      </w:r>
      <w:r>
        <w:fldChar w:fldCharType="separate"/>
      </w:r>
      <w:r>
        <w:t>5</w:t>
      </w:r>
      <w:r>
        <w:fldChar w:fldCharType="end"/>
      </w:r>
    </w:p>
    <w:p w14:paraId="2AFEE676" w14:textId="506E3907" w:rsidR="001638A2" w:rsidRDefault="001638A2">
      <w:pPr>
        <w:pStyle w:val="TOC2"/>
        <w:rPr>
          <w:rFonts w:asciiTheme="minorHAnsi" w:eastAsiaTheme="minorEastAsia" w:hAnsiTheme="minorHAnsi" w:cstheme="minorBidi"/>
          <w:spacing w:val="0"/>
          <w:sz w:val="22"/>
          <w:szCs w:val="22"/>
        </w:rPr>
      </w:pPr>
      <w:r>
        <w:t>What is ‘at the request of another person’?</w:t>
      </w:r>
      <w:r>
        <w:tab/>
      </w:r>
      <w:r>
        <w:fldChar w:fldCharType="begin"/>
      </w:r>
      <w:r>
        <w:instrText xml:space="preserve"> PAGEREF _Toc10639004 \h </w:instrText>
      </w:r>
      <w:r>
        <w:fldChar w:fldCharType="separate"/>
      </w:r>
      <w:r>
        <w:t>5</w:t>
      </w:r>
      <w:r>
        <w:fldChar w:fldCharType="end"/>
      </w:r>
    </w:p>
    <w:p w14:paraId="0FDC00E8" w14:textId="144A050C" w:rsidR="001638A2" w:rsidRDefault="001638A2">
      <w:pPr>
        <w:pStyle w:val="TOC2"/>
        <w:rPr>
          <w:rFonts w:asciiTheme="minorHAnsi" w:eastAsiaTheme="minorEastAsia" w:hAnsiTheme="minorHAnsi" w:cstheme="minorBidi"/>
          <w:spacing w:val="0"/>
          <w:sz w:val="22"/>
          <w:szCs w:val="22"/>
        </w:rPr>
      </w:pPr>
      <w:r>
        <w:t>What are the ‘required particulars’?</w:t>
      </w:r>
      <w:r>
        <w:tab/>
      </w:r>
      <w:r>
        <w:fldChar w:fldCharType="begin"/>
      </w:r>
      <w:r>
        <w:instrText xml:space="preserve"> PAGEREF _Toc10639005 \h </w:instrText>
      </w:r>
      <w:r>
        <w:fldChar w:fldCharType="separate"/>
      </w:r>
      <w:r>
        <w:t>5</w:t>
      </w:r>
      <w:r>
        <w:fldChar w:fldCharType="end"/>
      </w:r>
    </w:p>
    <w:p w14:paraId="061B7510" w14:textId="3F6EB505" w:rsidR="001638A2" w:rsidRDefault="001638A2">
      <w:pPr>
        <w:pStyle w:val="TOC2"/>
        <w:rPr>
          <w:rFonts w:asciiTheme="minorHAnsi" w:eastAsiaTheme="minorEastAsia" w:hAnsiTheme="minorHAnsi" w:cstheme="minorBidi"/>
          <w:spacing w:val="0"/>
          <w:sz w:val="22"/>
          <w:szCs w:val="22"/>
        </w:rPr>
      </w:pPr>
      <w:r>
        <w:t>What is a ‘disclosure entity’?</w:t>
      </w:r>
      <w:r>
        <w:tab/>
      </w:r>
      <w:r>
        <w:fldChar w:fldCharType="begin"/>
      </w:r>
      <w:r>
        <w:instrText xml:space="preserve"> PAGEREF _Toc10639006 \h </w:instrText>
      </w:r>
      <w:r>
        <w:fldChar w:fldCharType="separate"/>
      </w:r>
      <w:r>
        <w:t>6</w:t>
      </w:r>
      <w:r>
        <w:fldChar w:fldCharType="end"/>
      </w:r>
    </w:p>
    <w:p w14:paraId="6666A3CD" w14:textId="0DEC97CA" w:rsidR="001638A2" w:rsidRDefault="001638A2">
      <w:pPr>
        <w:pStyle w:val="TOC2"/>
        <w:rPr>
          <w:rFonts w:asciiTheme="minorHAnsi" w:eastAsiaTheme="minorEastAsia" w:hAnsiTheme="minorHAnsi" w:cstheme="minorBidi"/>
          <w:spacing w:val="0"/>
          <w:sz w:val="22"/>
          <w:szCs w:val="22"/>
        </w:rPr>
      </w:pPr>
      <w:r>
        <w:t>Who ‘authorises’ the broadcast of political matter?</w:t>
      </w:r>
      <w:r>
        <w:tab/>
      </w:r>
      <w:r>
        <w:fldChar w:fldCharType="begin"/>
      </w:r>
      <w:r>
        <w:instrText xml:space="preserve"> PAGEREF _Toc10639007 \h </w:instrText>
      </w:r>
      <w:r>
        <w:fldChar w:fldCharType="separate"/>
      </w:r>
      <w:r>
        <w:t>7</w:t>
      </w:r>
      <w:r>
        <w:fldChar w:fldCharType="end"/>
      </w:r>
    </w:p>
    <w:p w14:paraId="0AA6EA22" w14:textId="512FB4A5" w:rsidR="001638A2" w:rsidRDefault="001638A2">
      <w:pPr>
        <w:pStyle w:val="TOC2"/>
        <w:rPr>
          <w:rFonts w:asciiTheme="minorHAnsi" w:eastAsiaTheme="minorEastAsia" w:hAnsiTheme="minorHAnsi" w:cstheme="minorBidi"/>
          <w:spacing w:val="0"/>
          <w:sz w:val="22"/>
          <w:szCs w:val="22"/>
        </w:rPr>
      </w:pPr>
      <w:r>
        <w:t>What is the ‘relevant town or city’?</w:t>
      </w:r>
      <w:r>
        <w:tab/>
      </w:r>
      <w:r>
        <w:fldChar w:fldCharType="begin"/>
      </w:r>
      <w:r>
        <w:instrText xml:space="preserve"> PAGEREF _Toc10639008 \h </w:instrText>
      </w:r>
      <w:r>
        <w:fldChar w:fldCharType="separate"/>
      </w:r>
      <w:r>
        <w:t>7</w:t>
      </w:r>
      <w:r>
        <w:fldChar w:fldCharType="end"/>
      </w:r>
    </w:p>
    <w:p w14:paraId="4070DB17" w14:textId="688AD004" w:rsidR="001638A2" w:rsidRDefault="001638A2">
      <w:pPr>
        <w:pStyle w:val="TOC2"/>
        <w:rPr>
          <w:rFonts w:asciiTheme="minorHAnsi" w:eastAsiaTheme="minorEastAsia" w:hAnsiTheme="minorHAnsi" w:cstheme="minorBidi"/>
          <w:spacing w:val="0"/>
          <w:sz w:val="22"/>
          <w:szCs w:val="22"/>
        </w:rPr>
      </w:pPr>
      <w:r>
        <w:t>Ensuring compliance</w:t>
      </w:r>
      <w:r>
        <w:tab/>
      </w:r>
      <w:r>
        <w:fldChar w:fldCharType="begin"/>
      </w:r>
      <w:r>
        <w:instrText xml:space="preserve"> PAGEREF _Toc10639009 \h </w:instrText>
      </w:r>
      <w:r>
        <w:fldChar w:fldCharType="separate"/>
      </w:r>
      <w:r>
        <w:t>7</w:t>
      </w:r>
      <w:r>
        <w:fldChar w:fldCharType="end"/>
      </w:r>
    </w:p>
    <w:p w14:paraId="4491D8CC" w14:textId="56AFB044" w:rsidR="001638A2" w:rsidRDefault="001638A2">
      <w:pPr>
        <w:pStyle w:val="TOC2"/>
        <w:rPr>
          <w:rFonts w:asciiTheme="minorHAnsi" w:eastAsiaTheme="minorEastAsia" w:hAnsiTheme="minorHAnsi" w:cstheme="minorBidi"/>
          <w:spacing w:val="0"/>
          <w:sz w:val="22"/>
          <w:szCs w:val="22"/>
        </w:rPr>
      </w:pPr>
      <w:r>
        <w:t>Keeping records</w:t>
      </w:r>
      <w:r>
        <w:tab/>
      </w:r>
      <w:r>
        <w:fldChar w:fldCharType="begin"/>
      </w:r>
      <w:r>
        <w:instrText xml:space="preserve"> PAGEREF _Toc10639010 \h </w:instrText>
      </w:r>
      <w:r>
        <w:fldChar w:fldCharType="separate"/>
      </w:r>
      <w:r>
        <w:t>8</w:t>
      </w:r>
      <w:r>
        <w:fldChar w:fldCharType="end"/>
      </w:r>
    </w:p>
    <w:p w14:paraId="2A36E2FA" w14:textId="7FECE677" w:rsidR="001638A2" w:rsidRDefault="001638A2">
      <w:pPr>
        <w:pStyle w:val="TOC1"/>
        <w:rPr>
          <w:rFonts w:asciiTheme="minorHAnsi" w:eastAsiaTheme="minorEastAsia" w:hAnsiTheme="minorHAnsi" w:cstheme="minorBidi"/>
          <w:b w:val="0"/>
          <w:spacing w:val="0"/>
          <w:sz w:val="22"/>
          <w:szCs w:val="22"/>
        </w:rPr>
      </w:pPr>
      <w:r>
        <w:t>Election matter</w:t>
      </w:r>
      <w:r>
        <w:tab/>
      </w:r>
      <w:r>
        <w:fldChar w:fldCharType="begin"/>
      </w:r>
      <w:r>
        <w:instrText xml:space="preserve"> PAGEREF _Toc10639011 \h </w:instrText>
      </w:r>
      <w:r>
        <w:fldChar w:fldCharType="separate"/>
      </w:r>
      <w:r>
        <w:t>9</w:t>
      </w:r>
      <w:r>
        <w:fldChar w:fldCharType="end"/>
      </w:r>
    </w:p>
    <w:p w14:paraId="16AE54A2" w14:textId="72C171E5" w:rsidR="001638A2" w:rsidRDefault="001638A2">
      <w:pPr>
        <w:pStyle w:val="TOC2"/>
        <w:rPr>
          <w:rFonts w:asciiTheme="minorHAnsi" w:eastAsiaTheme="minorEastAsia" w:hAnsiTheme="minorHAnsi" w:cstheme="minorBidi"/>
          <w:spacing w:val="0"/>
          <w:sz w:val="22"/>
          <w:szCs w:val="22"/>
        </w:rPr>
      </w:pPr>
      <w:r w:rsidRPr="007F29A7">
        <w:rPr>
          <w:shd w:val="clear" w:color="auto" w:fill="FFFFFF"/>
        </w:rPr>
        <w:t>What is ‘election matter’?</w:t>
      </w:r>
      <w:r>
        <w:tab/>
      </w:r>
      <w:r>
        <w:fldChar w:fldCharType="begin"/>
      </w:r>
      <w:r>
        <w:instrText xml:space="preserve"> PAGEREF _Toc10639012 \h </w:instrText>
      </w:r>
      <w:r>
        <w:fldChar w:fldCharType="separate"/>
      </w:r>
      <w:r>
        <w:t>9</w:t>
      </w:r>
      <w:r>
        <w:fldChar w:fldCharType="end"/>
      </w:r>
    </w:p>
    <w:p w14:paraId="38F18D17" w14:textId="384A11CA" w:rsidR="001638A2" w:rsidRDefault="001638A2">
      <w:pPr>
        <w:pStyle w:val="TOC2"/>
        <w:rPr>
          <w:rFonts w:asciiTheme="minorHAnsi" w:eastAsiaTheme="minorEastAsia" w:hAnsiTheme="minorHAnsi" w:cstheme="minorBidi"/>
          <w:spacing w:val="0"/>
          <w:sz w:val="22"/>
          <w:szCs w:val="22"/>
        </w:rPr>
      </w:pPr>
      <w:r w:rsidRPr="007F29A7">
        <w:rPr>
          <w:shd w:val="clear" w:color="auto" w:fill="FFFFFF"/>
        </w:rPr>
        <w:t>What is an ‘election period’?</w:t>
      </w:r>
      <w:r>
        <w:tab/>
      </w:r>
      <w:r>
        <w:fldChar w:fldCharType="begin"/>
      </w:r>
      <w:r>
        <w:instrText xml:space="preserve"> PAGEREF _Toc10639013 \h </w:instrText>
      </w:r>
      <w:r>
        <w:fldChar w:fldCharType="separate"/>
      </w:r>
      <w:r>
        <w:t>9</w:t>
      </w:r>
      <w:r>
        <w:fldChar w:fldCharType="end"/>
      </w:r>
    </w:p>
    <w:p w14:paraId="25BE74B6" w14:textId="4745FBC5" w:rsidR="001638A2" w:rsidRDefault="001638A2">
      <w:pPr>
        <w:pStyle w:val="TOC2"/>
        <w:rPr>
          <w:rFonts w:asciiTheme="minorHAnsi" w:eastAsiaTheme="minorEastAsia" w:hAnsiTheme="minorHAnsi" w:cstheme="minorBidi"/>
          <w:spacing w:val="0"/>
          <w:sz w:val="22"/>
          <w:szCs w:val="22"/>
        </w:rPr>
      </w:pPr>
      <w:r w:rsidRPr="007F29A7">
        <w:rPr>
          <w:shd w:val="clear" w:color="auto" w:fill="FFFFFF"/>
        </w:rPr>
        <w:t>Reasonable opportunities to participants in elections</w:t>
      </w:r>
      <w:r>
        <w:tab/>
      </w:r>
      <w:r>
        <w:fldChar w:fldCharType="begin"/>
      </w:r>
      <w:r>
        <w:instrText xml:space="preserve"> PAGEREF _Toc10639014 \h </w:instrText>
      </w:r>
      <w:r>
        <w:fldChar w:fldCharType="separate"/>
      </w:r>
      <w:r>
        <w:t>10</w:t>
      </w:r>
      <w:r>
        <w:fldChar w:fldCharType="end"/>
      </w:r>
    </w:p>
    <w:p w14:paraId="16903D4A" w14:textId="27E760FB" w:rsidR="001638A2" w:rsidRDefault="001638A2">
      <w:pPr>
        <w:pStyle w:val="TOC2"/>
        <w:rPr>
          <w:rFonts w:asciiTheme="minorHAnsi" w:eastAsiaTheme="minorEastAsia" w:hAnsiTheme="minorHAnsi" w:cstheme="minorBidi"/>
          <w:spacing w:val="0"/>
          <w:sz w:val="22"/>
          <w:szCs w:val="22"/>
        </w:rPr>
      </w:pPr>
      <w:r>
        <w:t>Election ‘blackouts’</w:t>
      </w:r>
      <w:r>
        <w:tab/>
      </w:r>
      <w:r>
        <w:fldChar w:fldCharType="begin"/>
      </w:r>
      <w:r>
        <w:instrText xml:space="preserve"> PAGEREF _Toc10639015 \h </w:instrText>
      </w:r>
      <w:r>
        <w:fldChar w:fldCharType="separate"/>
      </w:r>
      <w:r>
        <w:t>10</w:t>
      </w:r>
      <w:r>
        <w:fldChar w:fldCharType="end"/>
      </w:r>
    </w:p>
    <w:p w14:paraId="368C0B30" w14:textId="5FC607C8" w:rsidR="001638A2" w:rsidRDefault="001638A2">
      <w:pPr>
        <w:pStyle w:val="TOC1"/>
        <w:rPr>
          <w:rFonts w:asciiTheme="minorHAnsi" w:eastAsiaTheme="minorEastAsia" w:hAnsiTheme="minorHAnsi" w:cstheme="minorBidi"/>
          <w:b w:val="0"/>
          <w:spacing w:val="0"/>
          <w:sz w:val="22"/>
          <w:szCs w:val="22"/>
        </w:rPr>
      </w:pPr>
      <w:r>
        <w:t>Appendix</w:t>
      </w:r>
      <w:r>
        <w:tab/>
      </w:r>
      <w:r>
        <w:fldChar w:fldCharType="begin"/>
      </w:r>
      <w:r>
        <w:instrText xml:space="preserve"> PAGEREF _Toc10639016 \h </w:instrText>
      </w:r>
      <w:r>
        <w:fldChar w:fldCharType="separate"/>
      </w:r>
      <w:r>
        <w:t>11</w:t>
      </w:r>
      <w:r>
        <w:fldChar w:fldCharType="end"/>
      </w:r>
    </w:p>
    <w:p w14:paraId="3595F8F8" w14:textId="694A9915" w:rsidR="001638A2" w:rsidRDefault="001638A2">
      <w:pPr>
        <w:pStyle w:val="TOC2"/>
        <w:rPr>
          <w:rFonts w:asciiTheme="minorHAnsi" w:eastAsiaTheme="minorEastAsia" w:hAnsiTheme="minorHAnsi" w:cstheme="minorBidi"/>
          <w:spacing w:val="0"/>
          <w:sz w:val="22"/>
          <w:szCs w:val="22"/>
        </w:rPr>
      </w:pPr>
      <w:r>
        <w:lastRenderedPageBreak/>
        <w:t>Case study 1</w:t>
      </w:r>
      <w:r>
        <w:tab/>
      </w:r>
      <w:r>
        <w:fldChar w:fldCharType="begin"/>
      </w:r>
      <w:r>
        <w:instrText xml:space="preserve"> PAGEREF _Toc10639017 \h </w:instrText>
      </w:r>
      <w:r>
        <w:fldChar w:fldCharType="separate"/>
      </w:r>
      <w:r>
        <w:t>11</w:t>
      </w:r>
      <w:r>
        <w:fldChar w:fldCharType="end"/>
      </w:r>
    </w:p>
    <w:p w14:paraId="557D1557" w14:textId="2BF26CA4" w:rsidR="001638A2" w:rsidRDefault="001638A2">
      <w:pPr>
        <w:pStyle w:val="TOC3"/>
        <w:rPr>
          <w:rFonts w:asciiTheme="minorHAnsi" w:eastAsiaTheme="minorEastAsia" w:hAnsiTheme="minorHAnsi" w:cstheme="minorBidi"/>
        </w:rPr>
      </w:pPr>
      <w:r>
        <w:t>Breach—licensee did not announce the required particulars immediately after the broadcast of political matter.</w:t>
      </w:r>
      <w:r>
        <w:tab/>
      </w:r>
      <w:r>
        <w:fldChar w:fldCharType="begin"/>
      </w:r>
      <w:r>
        <w:instrText xml:space="preserve"> PAGEREF _Toc10639018 \h </w:instrText>
      </w:r>
      <w:r>
        <w:fldChar w:fldCharType="separate"/>
      </w:r>
      <w:r>
        <w:t>11</w:t>
      </w:r>
      <w:r>
        <w:fldChar w:fldCharType="end"/>
      </w:r>
    </w:p>
    <w:p w14:paraId="3AA87CE1" w14:textId="44A53E5B" w:rsidR="001638A2" w:rsidRDefault="001638A2">
      <w:pPr>
        <w:pStyle w:val="TOC2"/>
        <w:rPr>
          <w:rFonts w:asciiTheme="minorHAnsi" w:eastAsiaTheme="minorEastAsia" w:hAnsiTheme="minorHAnsi" w:cstheme="minorBidi"/>
          <w:spacing w:val="0"/>
          <w:sz w:val="22"/>
          <w:szCs w:val="22"/>
        </w:rPr>
      </w:pPr>
      <w:r>
        <w:t>Case study 2</w:t>
      </w:r>
      <w:r>
        <w:tab/>
      </w:r>
      <w:r>
        <w:fldChar w:fldCharType="begin"/>
      </w:r>
      <w:r>
        <w:instrText xml:space="preserve"> PAGEREF _Toc10639019 \h </w:instrText>
      </w:r>
      <w:r>
        <w:fldChar w:fldCharType="separate"/>
      </w:r>
      <w:r>
        <w:t>12</w:t>
      </w:r>
      <w:r>
        <w:fldChar w:fldCharType="end"/>
      </w:r>
    </w:p>
    <w:p w14:paraId="6CCB8825" w14:textId="4B4F07D6" w:rsidR="001638A2" w:rsidRDefault="001638A2">
      <w:pPr>
        <w:pStyle w:val="TOC3"/>
        <w:rPr>
          <w:rFonts w:asciiTheme="minorHAnsi" w:eastAsiaTheme="minorEastAsia" w:hAnsiTheme="minorHAnsi" w:cstheme="minorBidi"/>
        </w:rPr>
      </w:pPr>
      <w:r>
        <w:t>No breach—political matter was not broadcast at the request of another person</w:t>
      </w:r>
      <w:r>
        <w:tab/>
      </w:r>
      <w:r>
        <w:fldChar w:fldCharType="begin"/>
      </w:r>
      <w:r>
        <w:instrText xml:space="preserve"> PAGEREF _Toc10639020 \h </w:instrText>
      </w:r>
      <w:r>
        <w:fldChar w:fldCharType="separate"/>
      </w:r>
      <w:r>
        <w:t>12</w:t>
      </w:r>
      <w:r>
        <w:fldChar w:fldCharType="end"/>
      </w:r>
    </w:p>
    <w:p w14:paraId="5732ED6C" w14:textId="42988BB4" w:rsidR="001638A2" w:rsidRDefault="001638A2">
      <w:pPr>
        <w:pStyle w:val="TOC2"/>
        <w:rPr>
          <w:rFonts w:asciiTheme="minorHAnsi" w:eastAsiaTheme="minorEastAsia" w:hAnsiTheme="minorHAnsi" w:cstheme="minorBidi"/>
          <w:spacing w:val="0"/>
          <w:sz w:val="22"/>
          <w:szCs w:val="22"/>
        </w:rPr>
      </w:pPr>
      <w:r>
        <w:t>Case study 3</w:t>
      </w:r>
      <w:r>
        <w:tab/>
      </w:r>
      <w:r>
        <w:fldChar w:fldCharType="begin"/>
      </w:r>
      <w:r>
        <w:instrText xml:space="preserve"> PAGEREF _Toc10639021 \h </w:instrText>
      </w:r>
      <w:r>
        <w:fldChar w:fldCharType="separate"/>
      </w:r>
      <w:r>
        <w:t>14</w:t>
      </w:r>
      <w:r>
        <w:fldChar w:fldCharType="end"/>
      </w:r>
    </w:p>
    <w:p w14:paraId="57CB3D59" w14:textId="4479A548" w:rsidR="001638A2" w:rsidRDefault="001638A2">
      <w:pPr>
        <w:pStyle w:val="TOC3"/>
        <w:rPr>
          <w:rFonts w:asciiTheme="minorHAnsi" w:eastAsiaTheme="minorEastAsia" w:hAnsiTheme="minorHAnsi" w:cstheme="minorBidi"/>
        </w:rPr>
      </w:pPr>
      <w:r>
        <w:t>No breach—broadcast did not constitute political matter</w:t>
      </w:r>
      <w:r>
        <w:tab/>
      </w:r>
      <w:r>
        <w:fldChar w:fldCharType="begin"/>
      </w:r>
      <w:r>
        <w:instrText xml:space="preserve"> PAGEREF _Toc10639022 \h </w:instrText>
      </w:r>
      <w:r>
        <w:fldChar w:fldCharType="separate"/>
      </w:r>
      <w:r>
        <w:t>14</w:t>
      </w:r>
      <w:r>
        <w:fldChar w:fldCharType="end"/>
      </w:r>
    </w:p>
    <w:p w14:paraId="2AFD5580" w14:textId="2A4E4E68" w:rsidR="001638A2" w:rsidRDefault="001638A2">
      <w:pPr>
        <w:pStyle w:val="TOC2"/>
        <w:rPr>
          <w:rFonts w:asciiTheme="minorHAnsi" w:eastAsiaTheme="minorEastAsia" w:hAnsiTheme="minorHAnsi" w:cstheme="minorBidi"/>
          <w:spacing w:val="0"/>
          <w:sz w:val="22"/>
          <w:szCs w:val="22"/>
        </w:rPr>
      </w:pPr>
      <w:r>
        <w:t>Case study 4</w:t>
      </w:r>
      <w:r>
        <w:tab/>
      </w:r>
      <w:r>
        <w:fldChar w:fldCharType="begin"/>
      </w:r>
      <w:r>
        <w:instrText xml:space="preserve"> PAGEREF _Toc10639023 \h </w:instrText>
      </w:r>
      <w:r>
        <w:fldChar w:fldCharType="separate"/>
      </w:r>
      <w:r>
        <w:t>15</w:t>
      </w:r>
      <w:r>
        <w:fldChar w:fldCharType="end"/>
      </w:r>
    </w:p>
    <w:p w14:paraId="53C5E4FE" w14:textId="78B6C036" w:rsidR="001638A2" w:rsidRDefault="001638A2">
      <w:pPr>
        <w:pStyle w:val="TOC3"/>
        <w:rPr>
          <w:rFonts w:asciiTheme="minorHAnsi" w:eastAsiaTheme="minorEastAsia" w:hAnsiTheme="minorHAnsi" w:cstheme="minorBidi"/>
        </w:rPr>
      </w:pPr>
      <w:r>
        <w:t>No breach—political matter was not broadcast at the request of another person</w:t>
      </w:r>
      <w:r>
        <w:tab/>
      </w:r>
      <w:r>
        <w:fldChar w:fldCharType="begin"/>
      </w:r>
      <w:r>
        <w:instrText xml:space="preserve"> PAGEREF _Toc10639024 \h </w:instrText>
      </w:r>
      <w:r>
        <w:fldChar w:fldCharType="separate"/>
      </w:r>
      <w:r>
        <w:t>15</w:t>
      </w:r>
      <w:r>
        <w:fldChar w:fldCharType="end"/>
      </w:r>
    </w:p>
    <w:p w14:paraId="69EEC7C7" w14:textId="422E2E27" w:rsidR="001638A2" w:rsidRDefault="001638A2">
      <w:pPr>
        <w:pStyle w:val="TOC2"/>
        <w:rPr>
          <w:rFonts w:asciiTheme="minorHAnsi" w:eastAsiaTheme="minorEastAsia" w:hAnsiTheme="minorHAnsi" w:cstheme="minorBidi"/>
          <w:spacing w:val="0"/>
          <w:sz w:val="22"/>
          <w:szCs w:val="22"/>
        </w:rPr>
      </w:pPr>
      <w:r>
        <w:t>Case study 5</w:t>
      </w:r>
      <w:r>
        <w:tab/>
      </w:r>
      <w:r>
        <w:fldChar w:fldCharType="begin"/>
      </w:r>
      <w:r>
        <w:instrText xml:space="preserve"> PAGEREF _Toc10639025 \h </w:instrText>
      </w:r>
      <w:r>
        <w:fldChar w:fldCharType="separate"/>
      </w:r>
      <w:r>
        <w:t>17</w:t>
      </w:r>
      <w:r>
        <w:fldChar w:fldCharType="end"/>
      </w:r>
    </w:p>
    <w:p w14:paraId="0872FF87" w14:textId="53DDB513" w:rsidR="001638A2" w:rsidRDefault="001638A2">
      <w:pPr>
        <w:pStyle w:val="TOC3"/>
        <w:rPr>
          <w:rFonts w:asciiTheme="minorHAnsi" w:eastAsiaTheme="minorEastAsia" w:hAnsiTheme="minorHAnsi" w:cstheme="minorBidi"/>
        </w:rPr>
      </w:pPr>
      <w:r>
        <w:t>No breach—political matter was not an election advertisement broadcast during the ‘blackout period’ and was not broadcast at the request of another person</w:t>
      </w:r>
      <w:r>
        <w:tab/>
      </w:r>
      <w:r>
        <w:fldChar w:fldCharType="begin"/>
      </w:r>
      <w:r>
        <w:instrText xml:space="preserve"> PAGEREF _Toc10639026 \h </w:instrText>
      </w:r>
      <w:r>
        <w:fldChar w:fldCharType="separate"/>
      </w:r>
      <w:r>
        <w:t>17</w:t>
      </w:r>
      <w:r>
        <w:fldChar w:fldCharType="end"/>
      </w:r>
    </w:p>
    <w:p w14:paraId="70B49DE7" w14:textId="3D6C7503" w:rsidR="000A4A51" w:rsidRPr="000D76E0" w:rsidRDefault="007A6CC0" w:rsidP="002D7C25">
      <w:pPr>
        <w:pStyle w:val="TOC3"/>
        <w:rPr>
          <w:rFonts w:cs="Arial"/>
        </w:rPr>
      </w:pPr>
      <w:r>
        <w:rPr>
          <w:rFonts w:cs="Arial"/>
          <w:b/>
          <w:spacing w:val="-14"/>
          <w:sz w:val="28"/>
        </w:rPr>
        <w:fldChar w:fldCharType="end"/>
      </w:r>
    </w:p>
    <w:p w14:paraId="5C1AA35F" w14:textId="77777777" w:rsidR="004D56FF" w:rsidRPr="000D76E0" w:rsidRDefault="004D56FF">
      <w:pPr>
        <w:rPr>
          <w:rFonts w:cs="Arial"/>
        </w:rPr>
        <w:sectPr w:rsidR="004D56FF" w:rsidRPr="000D76E0" w:rsidSect="00C77380">
          <w:headerReference w:type="even" r:id="rId21"/>
          <w:headerReference w:type="default" r:id="rId22"/>
          <w:footerReference w:type="even" r:id="rId23"/>
          <w:footerReference w:type="default" r:id="rId24"/>
          <w:headerReference w:type="first" r:id="rId25"/>
          <w:footerReference w:type="first" r:id="rId26"/>
          <w:pgSz w:w="11906" w:h="16838" w:code="9"/>
          <w:pgMar w:top="3646" w:right="3101" w:bottom="1134" w:left="1134" w:header="709" w:footer="119" w:gutter="0"/>
          <w:cols w:space="708"/>
          <w:titlePg/>
          <w:docGrid w:linePitch="360"/>
        </w:sectPr>
      </w:pPr>
    </w:p>
    <w:p w14:paraId="4A1A9F56" w14:textId="58DC488B" w:rsidR="00123733" w:rsidRDefault="00123733" w:rsidP="00123733">
      <w:pPr>
        <w:pStyle w:val="Heading1"/>
      </w:pPr>
      <w:bookmarkStart w:id="1" w:name="_Toc10638987"/>
      <w:r w:rsidRPr="00123733">
        <w:lastRenderedPageBreak/>
        <w:t xml:space="preserve">Political </w:t>
      </w:r>
      <w:r w:rsidR="00D55F44">
        <w:t xml:space="preserve">and election </w:t>
      </w:r>
      <w:r w:rsidRPr="00123733">
        <w:t>matter guidelines</w:t>
      </w:r>
      <w:bookmarkEnd w:id="1"/>
      <w:r w:rsidRPr="00123733">
        <w:t xml:space="preserve"> </w:t>
      </w:r>
    </w:p>
    <w:p w14:paraId="7A5F871F" w14:textId="77777777" w:rsidR="00123733" w:rsidRPr="00137DE1" w:rsidRDefault="00123733" w:rsidP="00123733">
      <w:pPr>
        <w:pStyle w:val="Heading2"/>
        <w:rPr>
          <w:color w:val="000000"/>
          <w:sz w:val="18"/>
          <w:szCs w:val="18"/>
          <w:shd w:val="clear" w:color="auto" w:fill="FFFFFF"/>
        </w:rPr>
      </w:pPr>
      <w:bookmarkStart w:id="2" w:name="_Toc10638988"/>
      <w:r w:rsidRPr="00FF2FEE">
        <w:t>Introduction</w:t>
      </w:r>
      <w:bookmarkEnd w:id="2"/>
    </w:p>
    <w:p w14:paraId="5F20181C" w14:textId="437353F6" w:rsidR="00715E6E" w:rsidRDefault="00123733" w:rsidP="00123733">
      <w:r w:rsidRPr="00BF49A8">
        <w:t xml:space="preserve">During political debate, it is important that </w:t>
      </w:r>
      <w:r w:rsidR="00D71E31">
        <w:t>audiences</w:t>
      </w:r>
      <w:r w:rsidRPr="00BF49A8">
        <w:t xml:space="preserve"> are informed about who is trying to persuade them to think or act in a certain way</w:t>
      </w:r>
      <w:r w:rsidR="007E2582">
        <w:t>,</w:t>
      </w:r>
      <w:r w:rsidR="00F138D5">
        <w:t xml:space="preserve"> and tha</w:t>
      </w:r>
      <w:r w:rsidR="00AA24D0">
        <w:t xml:space="preserve">t </w:t>
      </w:r>
      <w:r w:rsidR="00AA24D0" w:rsidRPr="00F87C8A">
        <w:t xml:space="preserve">people authorising political </w:t>
      </w:r>
      <w:r w:rsidR="00AA24D0">
        <w:t>matter</w:t>
      </w:r>
      <w:r w:rsidR="00AA24D0" w:rsidRPr="00F87C8A">
        <w:t xml:space="preserve"> are accountable for the material broadcast</w:t>
      </w:r>
      <w:r w:rsidRPr="00BF49A8">
        <w:t xml:space="preserve">. </w:t>
      </w:r>
      <w:r w:rsidR="003E5822">
        <w:t xml:space="preserve">When </w:t>
      </w:r>
      <w:r w:rsidR="00715E6E">
        <w:t>proper attribution</w:t>
      </w:r>
      <w:r w:rsidR="0010078A">
        <w:t xml:space="preserve"> </w:t>
      </w:r>
      <w:r w:rsidR="003E5822">
        <w:t xml:space="preserve">is absent </w:t>
      </w:r>
      <w:r w:rsidR="009B1DC6">
        <w:t xml:space="preserve">or </w:t>
      </w:r>
      <w:r w:rsidR="00EE5888">
        <w:t xml:space="preserve">the </w:t>
      </w:r>
      <w:r w:rsidR="003E5822">
        <w:t>source</w:t>
      </w:r>
      <w:r w:rsidR="00EE5888">
        <w:t xml:space="preserve"> of political messaging is d</w:t>
      </w:r>
      <w:r w:rsidR="00F85F71">
        <w:t>isguis</w:t>
      </w:r>
      <w:r w:rsidR="00EE5888">
        <w:t xml:space="preserve">ed, the </w:t>
      </w:r>
      <w:r w:rsidR="00C36EF2">
        <w:t xml:space="preserve">contribution of </w:t>
      </w:r>
      <w:r w:rsidR="0010078A">
        <w:t xml:space="preserve">political </w:t>
      </w:r>
      <w:r w:rsidR="00F22303">
        <w:t xml:space="preserve">communications </w:t>
      </w:r>
      <w:r w:rsidR="0091296D">
        <w:t xml:space="preserve">to the political process </w:t>
      </w:r>
      <w:r w:rsidR="00F22303">
        <w:t>can be compromised</w:t>
      </w:r>
      <w:r w:rsidR="007C39F4">
        <w:t>.</w:t>
      </w:r>
      <w:r w:rsidR="007C39F4">
        <w:rPr>
          <w:rStyle w:val="FootnoteReference"/>
        </w:rPr>
        <w:footnoteReference w:id="1"/>
      </w:r>
      <w:r w:rsidR="007C39F4">
        <w:t xml:space="preserve"> </w:t>
      </w:r>
    </w:p>
    <w:p w14:paraId="79DFA7FF" w14:textId="3C9CDC44" w:rsidR="00FD1EAB" w:rsidRDefault="00FD1EAB" w:rsidP="00123733">
      <w:r>
        <w:t>T</w:t>
      </w:r>
      <w:r w:rsidRPr="00F87C8A">
        <w:t xml:space="preserve">he </w:t>
      </w:r>
      <w:r>
        <w:t xml:space="preserve">provisions in the </w:t>
      </w:r>
      <w:r>
        <w:rPr>
          <w:i/>
        </w:rPr>
        <w:t xml:space="preserve">Broadcasting Services Act 1992 </w:t>
      </w:r>
      <w:r>
        <w:t xml:space="preserve">(BSA) relating to the broadcast of political matter apply at all times. </w:t>
      </w:r>
    </w:p>
    <w:p w14:paraId="3CDD7DB4" w14:textId="22475D65" w:rsidR="006D012D" w:rsidRPr="00220825" w:rsidRDefault="006D012D" w:rsidP="00220825">
      <w:pPr>
        <w:pStyle w:val="Heading3"/>
      </w:pPr>
      <w:bookmarkStart w:id="3" w:name="_Toc10638989"/>
      <w:r>
        <w:t>Political and election matter</w:t>
      </w:r>
      <w:bookmarkEnd w:id="3"/>
    </w:p>
    <w:p w14:paraId="2E1B15E4" w14:textId="6388AB3D" w:rsidR="00BA7408" w:rsidRDefault="00BA7408" w:rsidP="00BA7408">
      <w:r>
        <w:t>Election matter and election advertis</w:t>
      </w:r>
      <w:r w:rsidR="001D401C">
        <w:t>ements</w:t>
      </w:r>
      <w:r>
        <w:t xml:space="preserve"> are specific forms of political matter that relate directly to an election to a </w:t>
      </w:r>
      <w:r w:rsidR="00C04B50">
        <w:t>p</w:t>
      </w:r>
      <w:r>
        <w:t xml:space="preserve">arliament or a local government authority of a </w:t>
      </w:r>
      <w:r w:rsidR="00D6275D">
        <w:t>s</w:t>
      </w:r>
      <w:r>
        <w:t xml:space="preserve">tate or </w:t>
      </w:r>
      <w:r w:rsidR="00D6275D">
        <w:t>t</w:t>
      </w:r>
      <w:r>
        <w:t>erritory. During election campaigns, the BSA places some restrictions on the broadcast of election advertising</w:t>
      </w:r>
      <w:r w:rsidR="00314CA7">
        <w:t>. It also</w:t>
      </w:r>
      <w:r>
        <w:t xml:space="preserve"> </w:t>
      </w:r>
      <w:r w:rsidR="00314CA7">
        <w:t>places</w:t>
      </w:r>
      <w:r>
        <w:t xml:space="preserve"> certain obligations on licensees to provid</w:t>
      </w:r>
      <w:r w:rsidR="00314CA7">
        <w:t>e</w:t>
      </w:r>
      <w:r>
        <w:t xml:space="preserve"> access to the licensee’s broadcasting service to </w:t>
      </w:r>
      <w:r w:rsidR="003A0A8B">
        <w:t>participa</w:t>
      </w:r>
      <w:r w:rsidR="00314CA7">
        <w:t>n</w:t>
      </w:r>
      <w:r w:rsidR="003A0A8B">
        <w:t>t</w:t>
      </w:r>
      <w:r w:rsidR="00314CA7">
        <w:t>s</w:t>
      </w:r>
      <w:r w:rsidR="00685B6C">
        <w:t xml:space="preserve"> contesting</w:t>
      </w:r>
      <w:r>
        <w:t xml:space="preserve"> the election.</w:t>
      </w:r>
    </w:p>
    <w:p w14:paraId="1FDCD8D0" w14:textId="2AE401FB" w:rsidR="00220825" w:rsidRPr="00220825" w:rsidRDefault="009B2B76" w:rsidP="00220825">
      <w:pPr>
        <w:pStyle w:val="Heading3"/>
      </w:pPr>
      <w:bookmarkStart w:id="4" w:name="_Toc10638990"/>
      <w:r>
        <w:t>Who do the rules apply to?</w:t>
      </w:r>
      <w:bookmarkEnd w:id="4"/>
    </w:p>
    <w:p w14:paraId="688364DD" w14:textId="0B940FE6" w:rsidR="00912CE5" w:rsidRDefault="000B4320" w:rsidP="00163E37">
      <w:pPr>
        <w:rPr>
          <w:shd w:val="clear" w:color="auto" w:fill="FFFFFF"/>
        </w:rPr>
      </w:pPr>
      <w:r>
        <w:rPr>
          <w:shd w:val="clear" w:color="auto" w:fill="FFFFFF"/>
        </w:rPr>
        <w:t>The</w:t>
      </w:r>
      <w:r w:rsidR="00912CE5">
        <w:rPr>
          <w:shd w:val="clear" w:color="auto" w:fill="FFFFFF"/>
        </w:rPr>
        <w:t xml:space="preserve"> provisions</w:t>
      </w:r>
      <w:r>
        <w:rPr>
          <w:shd w:val="clear" w:color="auto" w:fill="FFFFFF"/>
        </w:rPr>
        <w:t xml:space="preserve"> </w:t>
      </w:r>
      <w:r w:rsidR="00912CE5" w:rsidRPr="00487B06">
        <w:rPr>
          <w:shd w:val="clear" w:color="auto" w:fill="FFFFFF"/>
        </w:rPr>
        <w:t>about political</w:t>
      </w:r>
      <w:r w:rsidR="00912CE5">
        <w:rPr>
          <w:shd w:val="clear" w:color="auto" w:fill="FFFFFF"/>
        </w:rPr>
        <w:t xml:space="preserve"> matter, election </w:t>
      </w:r>
      <w:r w:rsidR="00912CE5" w:rsidRPr="00487B06">
        <w:rPr>
          <w:shd w:val="clear" w:color="auto" w:fill="FFFFFF"/>
        </w:rPr>
        <w:t xml:space="preserve">matter </w:t>
      </w:r>
      <w:r w:rsidR="00912CE5">
        <w:rPr>
          <w:shd w:val="clear" w:color="auto" w:fill="FFFFFF"/>
        </w:rPr>
        <w:t xml:space="preserve">and election advertisements </w:t>
      </w:r>
      <w:r>
        <w:rPr>
          <w:shd w:val="clear" w:color="auto" w:fill="FFFFFF"/>
        </w:rPr>
        <w:t xml:space="preserve">apply to </w:t>
      </w:r>
      <w:r w:rsidRPr="00227057">
        <w:t>commercial television broadcasting licensees, commercial radio broadcasting licensees, community broadcasting licensees, subscription television broadcasting licensees and persons providing broadcasting services under class licences</w:t>
      </w:r>
      <w:r>
        <w:rPr>
          <w:shd w:val="clear" w:color="auto" w:fill="FFFFFF"/>
        </w:rPr>
        <w:t>.</w:t>
      </w:r>
    </w:p>
    <w:p w14:paraId="4B346AE8" w14:textId="6A5F63C5" w:rsidR="00163E37" w:rsidRPr="008A69F6" w:rsidRDefault="00163E37" w:rsidP="00A56A02">
      <w:pPr>
        <w:spacing w:after="80"/>
        <w:rPr>
          <w:rFonts w:cs="Arial"/>
          <w:szCs w:val="20"/>
        </w:rPr>
      </w:pPr>
      <w:r>
        <w:t xml:space="preserve">These </w:t>
      </w:r>
      <w:r w:rsidRPr="00C06489">
        <w:rPr>
          <w:rFonts w:cs="Arial"/>
          <w:szCs w:val="20"/>
        </w:rPr>
        <w:t>guidelines are intended to</w:t>
      </w:r>
      <w:r w:rsidRPr="008A69F6">
        <w:rPr>
          <w:rFonts w:cs="Arial"/>
          <w:szCs w:val="20"/>
        </w:rPr>
        <w:t>:</w:t>
      </w:r>
    </w:p>
    <w:p w14:paraId="7CC2AF28" w14:textId="4DDF26F6" w:rsidR="009E15AB" w:rsidRPr="00395507" w:rsidRDefault="009E15AB" w:rsidP="00163E37">
      <w:pPr>
        <w:pStyle w:val="ListParagraph"/>
        <w:numPr>
          <w:ilvl w:val="0"/>
          <w:numId w:val="31"/>
        </w:numPr>
        <w:rPr>
          <w:rFonts w:ascii="Arial" w:hAnsi="Arial" w:cs="Arial"/>
          <w:sz w:val="20"/>
          <w:szCs w:val="20"/>
        </w:rPr>
      </w:pPr>
      <w:r w:rsidRPr="00395507">
        <w:rPr>
          <w:rFonts w:ascii="Arial" w:hAnsi="Arial" w:cs="Arial"/>
          <w:sz w:val="20"/>
          <w:szCs w:val="20"/>
        </w:rPr>
        <w:t>a</w:t>
      </w:r>
      <w:r w:rsidR="00163E37" w:rsidRPr="00395507">
        <w:rPr>
          <w:rFonts w:ascii="Arial" w:hAnsi="Arial" w:cs="Arial"/>
          <w:sz w:val="20"/>
          <w:szCs w:val="20"/>
        </w:rPr>
        <w:t>ssist</w:t>
      </w:r>
      <w:r w:rsidRPr="00395507">
        <w:rPr>
          <w:rFonts w:ascii="Arial" w:hAnsi="Arial" w:cs="Arial"/>
          <w:sz w:val="20"/>
          <w:szCs w:val="20"/>
        </w:rPr>
        <w:t xml:space="preserve"> licensees </w:t>
      </w:r>
      <w:r w:rsidR="00AD1385">
        <w:rPr>
          <w:rFonts w:ascii="Arial" w:hAnsi="Arial" w:cs="Arial"/>
          <w:sz w:val="20"/>
          <w:szCs w:val="20"/>
        </w:rPr>
        <w:t xml:space="preserve">in </w:t>
      </w:r>
      <w:r w:rsidRPr="00395507">
        <w:rPr>
          <w:rFonts w:ascii="Arial" w:hAnsi="Arial" w:cs="Arial"/>
          <w:sz w:val="20"/>
          <w:szCs w:val="20"/>
        </w:rPr>
        <w:t>identify</w:t>
      </w:r>
      <w:r w:rsidR="00AD1385">
        <w:rPr>
          <w:rFonts w:ascii="Arial" w:hAnsi="Arial" w:cs="Arial"/>
          <w:sz w:val="20"/>
          <w:szCs w:val="20"/>
        </w:rPr>
        <w:t>ing</w:t>
      </w:r>
      <w:r w:rsidRPr="00395507">
        <w:rPr>
          <w:rFonts w:ascii="Arial" w:hAnsi="Arial" w:cs="Arial"/>
          <w:sz w:val="20"/>
          <w:szCs w:val="20"/>
        </w:rPr>
        <w:t xml:space="preserve"> political </w:t>
      </w:r>
      <w:r w:rsidR="002B59EC">
        <w:rPr>
          <w:rFonts w:ascii="Arial" w:hAnsi="Arial" w:cs="Arial"/>
          <w:sz w:val="20"/>
          <w:szCs w:val="20"/>
        </w:rPr>
        <w:t xml:space="preserve">and election </w:t>
      </w:r>
      <w:r w:rsidRPr="00395507">
        <w:rPr>
          <w:rFonts w:ascii="Arial" w:hAnsi="Arial" w:cs="Arial"/>
          <w:sz w:val="20"/>
          <w:szCs w:val="20"/>
        </w:rPr>
        <w:t>matter</w:t>
      </w:r>
      <w:r w:rsidR="00163E37" w:rsidRPr="00395507">
        <w:rPr>
          <w:rFonts w:ascii="Arial" w:hAnsi="Arial" w:cs="Arial"/>
          <w:sz w:val="20"/>
          <w:szCs w:val="20"/>
        </w:rPr>
        <w:t xml:space="preserve"> </w:t>
      </w:r>
    </w:p>
    <w:p w14:paraId="772E3140" w14:textId="299F723E" w:rsidR="00163E37" w:rsidRPr="008A69F6" w:rsidRDefault="00163E37" w:rsidP="00395507">
      <w:pPr>
        <w:pStyle w:val="ListParagraph"/>
        <w:numPr>
          <w:ilvl w:val="0"/>
          <w:numId w:val="31"/>
        </w:numPr>
        <w:rPr>
          <w:rFonts w:cs="Arial"/>
          <w:szCs w:val="20"/>
        </w:rPr>
      </w:pPr>
      <w:r w:rsidRPr="00395507">
        <w:rPr>
          <w:rFonts w:ascii="Arial" w:hAnsi="Arial" w:cs="Arial"/>
          <w:sz w:val="20"/>
          <w:szCs w:val="20"/>
        </w:rPr>
        <w:t xml:space="preserve">increase awareness and understanding of the obligations relating to the broadcast of political </w:t>
      </w:r>
      <w:r w:rsidR="001D401C">
        <w:rPr>
          <w:rFonts w:ascii="Arial" w:hAnsi="Arial" w:cs="Arial"/>
          <w:sz w:val="20"/>
          <w:szCs w:val="20"/>
        </w:rPr>
        <w:t xml:space="preserve">matter, </w:t>
      </w:r>
      <w:r w:rsidR="009E15AB">
        <w:rPr>
          <w:rFonts w:ascii="Arial" w:hAnsi="Arial" w:cs="Arial"/>
          <w:sz w:val="20"/>
          <w:szCs w:val="20"/>
        </w:rPr>
        <w:t xml:space="preserve">election </w:t>
      </w:r>
      <w:r w:rsidRPr="00395507">
        <w:rPr>
          <w:rFonts w:ascii="Arial" w:hAnsi="Arial" w:cs="Arial"/>
          <w:sz w:val="20"/>
          <w:szCs w:val="20"/>
        </w:rPr>
        <w:t>matter</w:t>
      </w:r>
      <w:r w:rsidR="001D401C">
        <w:rPr>
          <w:rFonts w:ascii="Arial" w:hAnsi="Arial" w:cs="Arial"/>
          <w:sz w:val="20"/>
          <w:szCs w:val="20"/>
        </w:rPr>
        <w:t xml:space="preserve"> and election advertisements</w:t>
      </w:r>
      <w:r w:rsidRPr="00395507">
        <w:rPr>
          <w:rFonts w:ascii="Arial" w:hAnsi="Arial" w:cs="Arial"/>
          <w:sz w:val="20"/>
          <w:szCs w:val="20"/>
        </w:rPr>
        <w:t>.</w:t>
      </w:r>
    </w:p>
    <w:p w14:paraId="42246D85" w14:textId="79A7C389" w:rsidR="00163E37" w:rsidRDefault="00904936" w:rsidP="00163E37">
      <w:r w:rsidRPr="00487B06">
        <w:t>Examples used in these guidelines are illustrative only.</w:t>
      </w:r>
      <w:r>
        <w:t xml:space="preserve"> </w:t>
      </w:r>
      <w:r w:rsidR="00685B6C">
        <w:t>A licensee’s compliance with the BSA will be</w:t>
      </w:r>
      <w:r w:rsidR="00163E37" w:rsidRPr="00487B06">
        <w:t xml:space="preserve"> </w:t>
      </w:r>
      <w:r w:rsidR="00163E37" w:rsidRPr="009C1D02">
        <w:t>considered</w:t>
      </w:r>
      <w:r w:rsidR="00163E37" w:rsidRPr="00487B06">
        <w:t xml:space="preserve"> by the ACMA on a case-by-case basis. </w:t>
      </w:r>
    </w:p>
    <w:p w14:paraId="0A8A582B" w14:textId="39A90D47" w:rsidR="00163E37" w:rsidRDefault="00163E37" w:rsidP="00163E37">
      <w:r>
        <w:t xml:space="preserve">Licensees should always obtain their own legal advice </w:t>
      </w:r>
      <w:r w:rsidR="00685B6C">
        <w:t>about their obligations under the</w:t>
      </w:r>
      <w:r w:rsidR="001D401C">
        <w:t xml:space="preserve"> BSA</w:t>
      </w:r>
      <w:r>
        <w:t>.</w:t>
      </w:r>
    </w:p>
    <w:p w14:paraId="256F215B" w14:textId="39936F3A" w:rsidR="008F264F" w:rsidRDefault="008F264F" w:rsidP="00163E37">
      <w:r>
        <w:t xml:space="preserve">The national broadcasters have their own rules about the broadcast of political matter </w:t>
      </w:r>
      <w:r w:rsidR="00C825D4">
        <w:t>(</w:t>
      </w:r>
      <w:r>
        <w:t xml:space="preserve">and </w:t>
      </w:r>
      <w:r w:rsidR="00C825D4">
        <w:t xml:space="preserve">in the case of SBS, </w:t>
      </w:r>
      <w:r w:rsidR="00E401BE">
        <w:t xml:space="preserve">also </w:t>
      </w:r>
      <w:r>
        <w:t>election advertisements). These rules are specified in each national broadcaster</w:t>
      </w:r>
      <w:r w:rsidR="00C60F95">
        <w:t>’</w:t>
      </w:r>
      <w:r>
        <w:t>s respective legislation</w:t>
      </w:r>
      <w:r w:rsidR="00C60F95">
        <w:t xml:space="preserve"> – the </w:t>
      </w:r>
      <w:hyperlink r:id="rId27" w:history="1">
        <w:r w:rsidR="00C60F95" w:rsidRPr="00C60F95">
          <w:rPr>
            <w:rStyle w:val="Hyperlink"/>
            <w:i/>
          </w:rPr>
          <w:t>Australian Broadcasting Corporation Act 1983</w:t>
        </w:r>
      </w:hyperlink>
      <w:r w:rsidR="00C60F95">
        <w:t xml:space="preserve"> and the </w:t>
      </w:r>
      <w:hyperlink r:id="rId28" w:history="1">
        <w:r w:rsidR="00C60F95" w:rsidRPr="00C60F95">
          <w:rPr>
            <w:rStyle w:val="Hyperlink"/>
            <w:i/>
          </w:rPr>
          <w:t>Special Broadcasting Service Act 1991</w:t>
        </w:r>
      </w:hyperlink>
      <w:r>
        <w:t xml:space="preserve">. </w:t>
      </w:r>
    </w:p>
    <w:p w14:paraId="7C956AA0" w14:textId="77777777" w:rsidR="00123733" w:rsidRPr="00487B06" w:rsidRDefault="00123733" w:rsidP="00F43C7A">
      <w:pPr>
        <w:pStyle w:val="Heading3"/>
      </w:pPr>
      <w:bookmarkStart w:id="5" w:name="_Toc10638991"/>
      <w:r w:rsidRPr="00487B06">
        <w:t>Complaints and enforcement</w:t>
      </w:r>
      <w:bookmarkEnd w:id="5"/>
    </w:p>
    <w:p w14:paraId="385321AE" w14:textId="5C60E3BE" w:rsidR="003D5E72" w:rsidRDefault="00123733" w:rsidP="00123733">
      <w:pPr>
        <w:rPr>
          <w:shd w:val="clear" w:color="auto" w:fill="FFFFFF"/>
        </w:rPr>
      </w:pPr>
      <w:r w:rsidRPr="00487B06">
        <w:rPr>
          <w:shd w:val="clear" w:color="auto" w:fill="FFFFFF"/>
        </w:rPr>
        <w:t xml:space="preserve">The </w:t>
      </w:r>
      <w:r w:rsidR="00531202">
        <w:rPr>
          <w:shd w:val="clear" w:color="auto" w:fill="FFFFFF"/>
        </w:rPr>
        <w:t xml:space="preserve">provisions </w:t>
      </w:r>
      <w:r w:rsidRPr="00487B06">
        <w:rPr>
          <w:shd w:val="clear" w:color="auto" w:fill="FFFFFF"/>
        </w:rPr>
        <w:t>about political</w:t>
      </w:r>
      <w:r w:rsidR="00C1521E">
        <w:rPr>
          <w:shd w:val="clear" w:color="auto" w:fill="FFFFFF"/>
        </w:rPr>
        <w:t xml:space="preserve"> matter,</w:t>
      </w:r>
      <w:r w:rsidR="004213DD">
        <w:rPr>
          <w:shd w:val="clear" w:color="auto" w:fill="FFFFFF"/>
        </w:rPr>
        <w:t xml:space="preserve"> election </w:t>
      </w:r>
      <w:r w:rsidRPr="00487B06">
        <w:rPr>
          <w:shd w:val="clear" w:color="auto" w:fill="FFFFFF"/>
        </w:rPr>
        <w:t xml:space="preserve">matter </w:t>
      </w:r>
      <w:r w:rsidR="00C1521E">
        <w:rPr>
          <w:shd w:val="clear" w:color="auto" w:fill="FFFFFF"/>
        </w:rPr>
        <w:t>and election adv</w:t>
      </w:r>
      <w:r w:rsidR="003B45B7">
        <w:rPr>
          <w:shd w:val="clear" w:color="auto" w:fill="FFFFFF"/>
        </w:rPr>
        <w:t>e</w:t>
      </w:r>
      <w:r w:rsidR="00C1521E">
        <w:rPr>
          <w:shd w:val="clear" w:color="auto" w:fill="FFFFFF"/>
        </w:rPr>
        <w:t xml:space="preserve">rtisements </w:t>
      </w:r>
      <w:r w:rsidR="00BD6EE7">
        <w:rPr>
          <w:shd w:val="clear" w:color="auto" w:fill="FFFFFF"/>
        </w:rPr>
        <w:t xml:space="preserve">are set out </w:t>
      </w:r>
      <w:r w:rsidR="001B0ACF">
        <w:rPr>
          <w:shd w:val="clear" w:color="auto" w:fill="FFFFFF"/>
        </w:rPr>
        <w:t xml:space="preserve">as licence conditions </w:t>
      </w:r>
      <w:r w:rsidR="00BD6EE7">
        <w:rPr>
          <w:shd w:val="clear" w:color="auto" w:fill="FFFFFF"/>
        </w:rPr>
        <w:t xml:space="preserve">in </w:t>
      </w:r>
      <w:r w:rsidR="003D5E72">
        <w:rPr>
          <w:shd w:val="clear" w:color="auto" w:fill="FFFFFF"/>
        </w:rPr>
        <w:t xml:space="preserve">Schedule 2 to </w:t>
      </w:r>
      <w:r>
        <w:rPr>
          <w:shd w:val="clear" w:color="auto" w:fill="FFFFFF"/>
        </w:rPr>
        <w:t xml:space="preserve">the </w:t>
      </w:r>
      <w:hyperlink r:id="rId29" w:history="1">
        <w:r w:rsidRPr="003A20DB">
          <w:rPr>
            <w:rStyle w:val="Hyperlink"/>
            <w:shd w:val="clear" w:color="auto" w:fill="FFFFFF"/>
          </w:rPr>
          <w:t>BSA</w:t>
        </w:r>
      </w:hyperlink>
      <w:r w:rsidRPr="00487B06">
        <w:rPr>
          <w:shd w:val="clear" w:color="auto" w:fill="FFFFFF"/>
        </w:rPr>
        <w:t xml:space="preserve">. </w:t>
      </w:r>
    </w:p>
    <w:p w14:paraId="0B286B9F" w14:textId="69180DA4" w:rsidR="00123733" w:rsidRPr="00487B06" w:rsidRDefault="00123733" w:rsidP="00123733">
      <w:pPr>
        <w:rPr>
          <w:shd w:val="clear" w:color="auto" w:fill="FFFFFF"/>
        </w:rPr>
      </w:pPr>
      <w:r w:rsidRPr="00487B06">
        <w:rPr>
          <w:shd w:val="clear" w:color="auto" w:fill="FFFFFF"/>
        </w:rPr>
        <w:lastRenderedPageBreak/>
        <w:t>Complaints about compliance with licence conditions can be made directly to the ACMA</w:t>
      </w:r>
      <w:r w:rsidR="007B0857">
        <w:rPr>
          <w:shd w:val="clear" w:color="auto" w:fill="FFFFFF"/>
        </w:rPr>
        <w:t xml:space="preserve">. There is no need for complainants to go to </w:t>
      </w:r>
      <w:r w:rsidR="002B371D">
        <w:rPr>
          <w:shd w:val="clear" w:color="auto" w:fill="FFFFFF"/>
        </w:rPr>
        <w:t>licensees in</w:t>
      </w:r>
      <w:r w:rsidR="001A665A">
        <w:rPr>
          <w:shd w:val="clear" w:color="auto" w:fill="FFFFFF"/>
        </w:rPr>
        <w:t xml:space="preserve"> the first instance</w:t>
      </w:r>
      <w:r w:rsidR="00BA31D1">
        <w:rPr>
          <w:shd w:val="clear" w:color="auto" w:fill="FFFFFF"/>
        </w:rPr>
        <w:t xml:space="preserve">. The ACMA’s </w:t>
      </w:r>
      <w:hyperlink r:id="rId30" w:history="1">
        <w:r w:rsidR="00BA31D1" w:rsidRPr="00210A5B">
          <w:rPr>
            <w:rStyle w:val="Hyperlink"/>
            <w:shd w:val="clear" w:color="auto" w:fill="FFFFFF"/>
          </w:rPr>
          <w:t>website</w:t>
        </w:r>
      </w:hyperlink>
      <w:r w:rsidR="00BA31D1">
        <w:rPr>
          <w:shd w:val="clear" w:color="auto" w:fill="FFFFFF"/>
        </w:rPr>
        <w:t xml:space="preserve"> provides more information about th</w:t>
      </w:r>
      <w:r w:rsidR="0090701A">
        <w:rPr>
          <w:shd w:val="clear" w:color="auto" w:fill="FFFFFF"/>
        </w:rPr>
        <w:t xml:space="preserve">is </w:t>
      </w:r>
      <w:r w:rsidR="00BA31D1">
        <w:rPr>
          <w:shd w:val="clear" w:color="auto" w:fill="FFFFFF"/>
        </w:rPr>
        <w:t>process</w:t>
      </w:r>
      <w:r w:rsidRPr="00487B06">
        <w:rPr>
          <w:shd w:val="clear" w:color="auto" w:fill="FFFFFF"/>
        </w:rPr>
        <w:t>.</w:t>
      </w:r>
    </w:p>
    <w:p w14:paraId="28B57107" w14:textId="07D7ABAB" w:rsidR="00123733" w:rsidRPr="00487B06" w:rsidRDefault="00123733" w:rsidP="00123733">
      <w:r w:rsidRPr="00487B06">
        <w:t xml:space="preserve">If </w:t>
      </w:r>
      <w:r w:rsidR="006F606F">
        <w:t xml:space="preserve">the ACMA </w:t>
      </w:r>
      <w:r w:rsidR="00C06489">
        <w:t xml:space="preserve">investigates a complaint and </w:t>
      </w:r>
      <w:r w:rsidR="006F606F">
        <w:t xml:space="preserve">finds that a </w:t>
      </w:r>
      <w:r w:rsidRPr="00487B06">
        <w:t xml:space="preserve">licence condition </w:t>
      </w:r>
      <w:r w:rsidR="006F606F">
        <w:t>ha</w:t>
      </w:r>
      <w:r w:rsidRPr="00487B06">
        <w:t>s</w:t>
      </w:r>
      <w:r w:rsidR="006F606F">
        <w:t xml:space="preserve"> been</w:t>
      </w:r>
      <w:r w:rsidRPr="00487B06">
        <w:t xml:space="preserve"> breached, </w:t>
      </w:r>
      <w:r w:rsidR="00572213">
        <w:t>it</w:t>
      </w:r>
      <w:r w:rsidRPr="00487B06">
        <w:t xml:space="preserve"> </w:t>
      </w:r>
      <w:r w:rsidR="00605588">
        <w:t>has a range of compliance and</w:t>
      </w:r>
      <w:r w:rsidRPr="00487B06">
        <w:t xml:space="preserve"> enforcement </w:t>
      </w:r>
      <w:r w:rsidR="00605588">
        <w:t>options</w:t>
      </w:r>
      <w:r w:rsidRPr="00487B06">
        <w:t>, including accept</w:t>
      </w:r>
      <w:r w:rsidR="00B866B3">
        <w:t>ing</w:t>
      </w:r>
      <w:r w:rsidRPr="00487B06">
        <w:t xml:space="preserve"> enforceable undertakings</w:t>
      </w:r>
      <w:r w:rsidR="00AC49DA">
        <w:t>,</w:t>
      </w:r>
      <w:r w:rsidR="00AC49DA" w:rsidRPr="00AC49DA">
        <w:t xml:space="preserve"> </w:t>
      </w:r>
      <w:r w:rsidR="00605588">
        <w:t>giving</w:t>
      </w:r>
      <w:r w:rsidR="00AC49DA" w:rsidRPr="00487B06">
        <w:t xml:space="preserve"> remedial directions</w:t>
      </w:r>
      <w:r w:rsidR="00AC49DA">
        <w:t xml:space="preserve"> or commenc</w:t>
      </w:r>
      <w:r w:rsidR="00B866B3">
        <w:t>ing</w:t>
      </w:r>
      <w:r w:rsidR="00AC49DA">
        <w:t xml:space="preserve"> civil penalty proceedings in the Federal Court to obtain civil penalty orders</w:t>
      </w:r>
      <w:r w:rsidRPr="00487B06">
        <w:t>.</w:t>
      </w:r>
      <w:r w:rsidR="00B1063D">
        <w:t xml:space="preserve"> </w:t>
      </w:r>
      <w:r w:rsidR="00BA31D1">
        <w:t xml:space="preserve">For more information see the ACMA’s </w:t>
      </w:r>
      <w:hyperlink r:id="rId31" w:history="1">
        <w:r w:rsidR="00BA31D1" w:rsidRPr="00210A5B">
          <w:rPr>
            <w:rStyle w:val="Hyperlink"/>
          </w:rPr>
          <w:t>Enforcement Guidelines</w:t>
        </w:r>
      </w:hyperlink>
      <w:r w:rsidR="00210A5B">
        <w:t>.</w:t>
      </w:r>
      <w:r w:rsidR="00BA31D1">
        <w:t xml:space="preserve"> </w:t>
      </w:r>
    </w:p>
    <w:p w14:paraId="53BDF135" w14:textId="1B550599" w:rsidR="00123733" w:rsidRPr="000D0ED0" w:rsidRDefault="00123733" w:rsidP="00F43C7A">
      <w:pPr>
        <w:pStyle w:val="Heading3"/>
      </w:pPr>
      <w:bookmarkStart w:id="6" w:name="_Toc10638992"/>
      <w:r w:rsidRPr="000D0ED0">
        <w:t>Elect</w:t>
      </w:r>
      <w:r w:rsidR="001059B2">
        <w:t>ion</w:t>
      </w:r>
      <w:r w:rsidRPr="000D0ED0">
        <w:t xml:space="preserve"> matter on other platforms</w:t>
      </w:r>
      <w:bookmarkEnd w:id="6"/>
    </w:p>
    <w:p w14:paraId="52056AAC" w14:textId="09BAE14E" w:rsidR="00A50C43" w:rsidRDefault="004A3F38" w:rsidP="00A50C43">
      <w:r>
        <w:t>There are rules that apply to</w:t>
      </w:r>
      <w:r w:rsidR="008D0865">
        <w:t xml:space="preserve"> the disclosure of authorisation details </w:t>
      </w:r>
      <w:r w:rsidR="005C1EFC">
        <w:t>for</w:t>
      </w:r>
      <w:r>
        <w:t xml:space="preserve"> </w:t>
      </w:r>
      <w:r w:rsidR="00123733" w:rsidRPr="00F87C8A">
        <w:t>matter</w:t>
      </w:r>
      <w:r w:rsidR="001059B2">
        <w:t xml:space="preserve"> related to elections</w:t>
      </w:r>
      <w:r w:rsidR="00123733" w:rsidRPr="00F87C8A">
        <w:t xml:space="preserve"> </w:t>
      </w:r>
      <w:r w:rsidR="008D0865">
        <w:t>on</w:t>
      </w:r>
      <w:r w:rsidR="00123733" w:rsidRPr="00F87C8A">
        <w:t xml:space="preserve"> </w:t>
      </w:r>
      <w:r w:rsidR="00123733">
        <w:t xml:space="preserve">non-broadcasting </w:t>
      </w:r>
      <w:r w:rsidR="00123733" w:rsidRPr="00A469B4">
        <w:t>media platforms</w:t>
      </w:r>
      <w:r w:rsidR="003A20DB" w:rsidRPr="00A469B4">
        <w:t xml:space="preserve"> (including </w:t>
      </w:r>
      <w:r w:rsidR="00C0438C" w:rsidRPr="00A469B4">
        <w:t>online</w:t>
      </w:r>
      <w:r w:rsidR="00F80122" w:rsidRPr="00A469B4">
        <w:t xml:space="preserve">, </w:t>
      </w:r>
      <w:r w:rsidR="00C3444E" w:rsidRPr="00A469B4">
        <w:t xml:space="preserve">bulk </w:t>
      </w:r>
      <w:r w:rsidR="00F80122" w:rsidRPr="00A469B4">
        <w:t xml:space="preserve">text messages, </w:t>
      </w:r>
      <w:r w:rsidR="003558B6" w:rsidRPr="00A469B4">
        <w:t xml:space="preserve">and </w:t>
      </w:r>
      <w:r w:rsidR="00F80122" w:rsidRPr="00A469B4">
        <w:t>robocalls</w:t>
      </w:r>
      <w:r w:rsidR="000A7D65">
        <w:t>,</w:t>
      </w:r>
      <w:r w:rsidR="00F80122" w:rsidRPr="00A469B4">
        <w:t xml:space="preserve"> a</w:t>
      </w:r>
      <w:r w:rsidR="003558B6" w:rsidRPr="00A469B4">
        <w:t xml:space="preserve">s well as </w:t>
      </w:r>
      <w:r w:rsidR="003A20DB" w:rsidRPr="00A469B4">
        <w:t>printed materials such as leaflets and how-to-vote cards)</w:t>
      </w:r>
      <w:r w:rsidR="008D0865" w:rsidRPr="00A469B4">
        <w:t>.</w:t>
      </w:r>
    </w:p>
    <w:p w14:paraId="2C98059F" w14:textId="21EC9A13" w:rsidR="00A50C43" w:rsidRPr="009C1D02" w:rsidRDefault="00A50C43" w:rsidP="00CA2EC3">
      <w:pPr>
        <w:rPr>
          <w:lang w:eastAsia="en-US"/>
        </w:rPr>
      </w:pPr>
      <w:r w:rsidRPr="009C1D02">
        <w:rPr>
          <w:lang w:eastAsia="en-US"/>
        </w:rPr>
        <w:t>The authorisation requirements for non</w:t>
      </w:r>
      <w:r w:rsidRPr="009C1D02">
        <w:rPr>
          <w:lang w:eastAsia="en-US"/>
        </w:rPr>
        <w:noBreakHyphen/>
        <w:t>broadcasting electoral communications related to federal elections are administered by the Australian Electoral Commission (AEC)</w:t>
      </w:r>
      <w:r w:rsidR="000A7D65">
        <w:rPr>
          <w:lang w:eastAsia="en-US"/>
        </w:rPr>
        <w:t>,</w:t>
      </w:r>
      <w:r w:rsidR="00131ED4" w:rsidRPr="009C1D02">
        <w:rPr>
          <w:lang w:eastAsia="en-US"/>
        </w:rPr>
        <w:t xml:space="preserve"> and for </w:t>
      </w:r>
      <w:r w:rsidR="000A7D65">
        <w:rPr>
          <w:lang w:eastAsia="en-US"/>
        </w:rPr>
        <w:t>s</w:t>
      </w:r>
      <w:r w:rsidRPr="009C1D02">
        <w:rPr>
          <w:lang w:eastAsia="en-US"/>
        </w:rPr>
        <w:t xml:space="preserve">tate or </w:t>
      </w:r>
      <w:r w:rsidR="000A7D65">
        <w:rPr>
          <w:lang w:eastAsia="en-US"/>
        </w:rPr>
        <w:t>t</w:t>
      </w:r>
      <w:r w:rsidRPr="009C1D02">
        <w:rPr>
          <w:lang w:eastAsia="en-US"/>
        </w:rPr>
        <w:t>erritor</w:t>
      </w:r>
      <w:r w:rsidR="00C24710" w:rsidRPr="009C1D02">
        <w:rPr>
          <w:lang w:eastAsia="en-US"/>
        </w:rPr>
        <w:t>y elections</w:t>
      </w:r>
      <w:r w:rsidR="00413F11" w:rsidRPr="009C1D02">
        <w:rPr>
          <w:lang w:eastAsia="en-US"/>
        </w:rPr>
        <w:t xml:space="preserve"> </w:t>
      </w:r>
      <w:r w:rsidRPr="009C1D02">
        <w:rPr>
          <w:lang w:eastAsia="en-US"/>
        </w:rPr>
        <w:t xml:space="preserve">by the relevant </w:t>
      </w:r>
      <w:r w:rsidR="005C2307">
        <w:rPr>
          <w:lang w:eastAsia="en-US"/>
        </w:rPr>
        <w:t xml:space="preserve">state or territory </w:t>
      </w:r>
      <w:r w:rsidRPr="009C1D02">
        <w:rPr>
          <w:lang w:eastAsia="en-US"/>
        </w:rPr>
        <w:t xml:space="preserve">electoral authorities. </w:t>
      </w:r>
    </w:p>
    <w:p w14:paraId="312876A3" w14:textId="3FCFC2BC" w:rsidR="00123733" w:rsidRPr="009C1D02" w:rsidRDefault="00A50C43" w:rsidP="00A50C43">
      <w:r w:rsidRPr="009C1D02">
        <w:rPr>
          <w:lang w:eastAsia="en-US"/>
        </w:rPr>
        <w:t>Complaints and enquiries about electoral matter on these other platforms</w:t>
      </w:r>
      <w:r w:rsidR="008B07C2" w:rsidRPr="009C1D02">
        <w:rPr>
          <w:lang w:eastAsia="en-US"/>
        </w:rPr>
        <w:t xml:space="preserve"> </w:t>
      </w:r>
      <w:r w:rsidRPr="009C1D02">
        <w:rPr>
          <w:lang w:eastAsia="en-US"/>
        </w:rPr>
        <w:t xml:space="preserve">should be directed to the AEC or relevant </w:t>
      </w:r>
      <w:r w:rsidR="000A7D65">
        <w:rPr>
          <w:lang w:eastAsia="en-US"/>
        </w:rPr>
        <w:t>s</w:t>
      </w:r>
      <w:r w:rsidR="00D4413C">
        <w:rPr>
          <w:lang w:eastAsia="en-US"/>
        </w:rPr>
        <w:t xml:space="preserve">tate or </w:t>
      </w:r>
      <w:r w:rsidR="000A7D65">
        <w:rPr>
          <w:lang w:eastAsia="en-US"/>
        </w:rPr>
        <w:t>t</w:t>
      </w:r>
      <w:r w:rsidR="00D4413C">
        <w:rPr>
          <w:lang w:eastAsia="en-US"/>
        </w:rPr>
        <w:t>erritory elect</w:t>
      </w:r>
      <w:r w:rsidR="000A7D65">
        <w:rPr>
          <w:lang w:eastAsia="en-US"/>
        </w:rPr>
        <w:t>oral</w:t>
      </w:r>
      <w:r w:rsidR="00D4413C">
        <w:rPr>
          <w:lang w:eastAsia="en-US"/>
        </w:rPr>
        <w:t xml:space="preserve"> </w:t>
      </w:r>
      <w:r w:rsidRPr="009C1D02">
        <w:rPr>
          <w:lang w:eastAsia="en-US"/>
        </w:rPr>
        <w:t>authority. For more information about the authorisation of federal electoral communications</w:t>
      </w:r>
      <w:r w:rsidR="000A7D65">
        <w:rPr>
          <w:lang w:eastAsia="en-US"/>
        </w:rPr>
        <w:t>,</w:t>
      </w:r>
      <w:r w:rsidRPr="009C1D02">
        <w:rPr>
          <w:lang w:eastAsia="en-US"/>
        </w:rPr>
        <w:t xml:space="preserve"> see the </w:t>
      </w:r>
      <w:r w:rsidR="0099054A" w:rsidRPr="004D1B4E">
        <w:rPr>
          <w:lang w:eastAsia="en-US"/>
        </w:rPr>
        <w:t>Electoral Backgrounder</w:t>
      </w:r>
      <w:r w:rsidR="009F2306">
        <w:rPr>
          <w:lang w:eastAsia="en-US"/>
        </w:rPr>
        <w:t xml:space="preserve"> on the </w:t>
      </w:r>
      <w:hyperlink r:id="rId32" w:history="1">
        <w:r w:rsidR="009F2306" w:rsidRPr="0099054A">
          <w:rPr>
            <w:rStyle w:val="Hyperlink"/>
            <w:lang w:eastAsia="en-US"/>
          </w:rPr>
          <w:t>AEC website</w:t>
        </w:r>
      </w:hyperlink>
      <w:r w:rsidR="009F2306">
        <w:rPr>
          <w:lang w:eastAsia="en-US"/>
        </w:rPr>
        <w:t xml:space="preserve">. </w:t>
      </w:r>
    </w:p>
    <w:p w14:paraId="727615C6" w14:textId="7ED8644B" w:rsidR="00FB0AB9" w:rsidRPr="00A43692" w:rsidRDefault="00FB0AB9" w:rsidP="00FB0AB9">
      <w:r w:rsidRPr="009C1D02">
        <w:rPr>
          <w:lang w:eastAsia="en-US"/>
        </w:rPr>
        <w:t xml:space="preserve">Complaints and enquiries about the operation of the </w:t>
      </w:r>
      <w:r w:rsidRPr="002B59EC">
        <w:rPr>
          <w:i/>
          <w:lang w:eastAsia="en-US"/>
        </w:rPr>
        <w:t>S</w:t>
      </w:r>
      <w:r w:rsidR="002B59EC">
        <w:rPr>
          <w:i/>
          <w:lang w:eastAsia="en-US"/>
        </w:rPr>
        <w:t>pam</w:t>
      </w:r>
      <w:r w:rsidRPr="002B59EC">
        <w:rPr>
          <w:i/>
          <w:lang w:eastAsia="en-US"/>
        </w:rPr>
        <w:t xml:space="preserve"> Act </w:t>
      </w:r>
      <w:r w:rsidR="002B59EC" w:rsidRPr="002B59EC">
        <w:rPr>
          <w:i/>
          <w:lang w:eastAsia="en-US"/>
        </w:rPr>
        <w:t>2003</w:t>
      </w:r>
      <w:r w:rsidR="002B59EC">
        <w:rPr>
          <w:lang w:eastAsia="en-US"/>
        </w:rPr>
        <w:t xml:space="preserve"> </w:t>
      </w:r>
      <w:r w:rsidRPr="009C1D02">
        <w:rPr>
          <w:lang w:eastAsia="en-US"/>
        </w:rPr>
        <w:t xml:space="preserve">and the </w:t>
      </w:r>
      <w:r w:rsidRPr="002B59EC">
        <w:rPr>
          <w:i/>
          <w:lang w:eastAsia="en-US"/>
        </w:rPr>
        <w:t>Do Not Call Register Act</w:t>
      </w:r>
      <w:r w:rsidR="002B59EC">
        <w:rPr>
          <w:i/>
          <w:lang w:eastAsia="en-US"/>
        </w:rPr>
        <w:t xml:space="preserve"> 2006 </w:t>
      </w:r>
      <w:r w:rsidRPr="009C1D02">
        <w:rPr>
          <w:lang w:eastAsia="en-US"/>
        </w:rPr>
        <w:t xml:space="preserve">should be referred to </w:t>
      </w:r>
      <w:r w:rsidR="00D4413C">
        <w:rPr>
          <w:lang w:eastAsia="en-US"/>
        </w:rPr>
        <w:t xml:space="preserve">the </w:t>
      </w:r>
      <w:r w:rsidRPr="009C1D02">
        <w:rPr>
          <w:lang w:eastAsia="en-US"/>
        </w:rPr>
        <w:t>ACMA.</w:t>
      </w:r>
      <w:r w:rsidR="00275FE2" w:rsidRPr="009C1D02">
        <w:rPr>
          <w:lang w:eastAsia="en-US"/>
        </w:rPr>
        <w:t xml:space="preserve"> Complaints and enquiries about the authorisation of robocalls or text messages should be referred to the AEC.</w:t>
      </w:r>
    </w:p>
    <w:p w14:paraId="0CC2EBD6" w14:textId="77777777" w:rsidR="00123733" w:rsidRDefault="00123733" w:rsidP="00F43C7A">
      <w:pPr>
        <w:pStyle w:val="Heading3"/>
      </w:pPr>
      <w:bookmarkStart w:id="7" w:name="_Toc10638993"/>
      <w:r w:rsidRPr="00AA2455">
        <w:t>Reviewing these guidelines</w:t>
      </w:r>
      <w:bookmarkEnd w:id="7"/>
    </w:p>
    <w:p w14:paraId="1D51CA93" w14:textId="717D6418" w:rsidR="007959D8" w:rsidRDefault="00123733" w:rsidP="00123733">
      <w:r w:rsidRPr="00F87C8A">
        <w:t>When changes are made</w:t>
      </w:r>
      <w:r w:rsidR="00484B9E">
        <w:t xml:space="preserve"> to regulatory provisions about the broadcast of political </w:t>
      </w:r>
      <w:r w:rsidR="00906E71">
        <w:t xml:space="preserve">and election </w:t>
      </w:r>
      <w:r w:rsidR="00484B9E">
        <w:t>matter</w:t>
      </w:r>
      <w:r w:rsidRPr="00F87C8A">
        <w:t xml:space="preserve">, the ACMA will update these guidelines. </w:t>
      </w:r>
    </w:p>
    <w:p w14:paraId="2CDE366D" w14:textId="54A7F757" w:rsidR="00123733" w:rsidRDefault="00123733" w:rsidP="00123733">
      <w:r w:rsidRPr="009C1D02">
        <w:t xml:space="preserve">The ACMA will periodically review the </w:t>
      </w:r>
      <w:r w:rsidR="009F2306">
        <w:t xml:space="preserve">relevance </w:t>
      </w:r>
      <w:r w:rsidRPr="009C1D02">
        <w:t>of the case studies in the</w:t>
      </w:r>
      <w:r w:rsidR="00F7110E" w:rsidRPr="009C1D02">
        <w:t>se</w:t>
      </w:r>
      <w:r w:rsidRPr="009C1D02">
        <w:t xml:space="preserve"> guidelines.</w:t>
      </w:r>
    </w:p>
    <w:p w14:paraId="68005EF6" w14:textId="738275B5" w:rsidR="008F752A" w:rsidRDefault="00197957" w:rsidP="00395507">
      <w:pPr>
        <w:pStyle w:val="Heading3"/>
      </w:pPr>
      <w:bookmarkStart w:id="8" w:name="_Toc10638994"/>
      <w:r w:rsidRPr="00197957">
        <w:t>Legislation</w:t>
      </w:r>
      <w:bookmarkEnd w:id="8"/>
    </w:p>
    <w:p w14:paraId="6EEA9B09" w14:textId="3D99DB32" w:rsidR="00197957" w:rsidRDefault="00197957" w:rsidP="00A56A02">
      <w:pPr>
        <w:spacing w:after="80"/>
      </w:pPr>
      <w:r>
        <w:t xml:space="preserve">The guidelines refer to </w:t>
      </w:r>
      <w:r w:rsidR="00E92219">
        <w:t xml:space="preserve">provisions in </w:t>
      </w:r>
      <w:r w:rsidR="00BA0F55">
        <w:t>the following</w:t>
      </w:r>
      <w:r w:rsidR="00E92219">
        <w:t xml:space="preserve"> </w:t>
      </w:r>
      <w:r w:rsidR="00BA0F55">
        <w:t>legislation:</w:t>
      </w:r>
    </w:p>
    <w:p w14:paraId="5C853043" w14:textId="34459AB8" w:rsidR="00BA0F55" w:rsidRPr="002F0901" w:rsidRDefault="00274324" w:rsidP="00BA0F55">
      <w:pPr>
        <w:pStyle w:val="ListParagraph"/>
        <w:numPr>
          <w:ilvl w:val="0"/>
          <w:numId w:val="18"/>
        </w:numPr>
        <w:rPr>
          <w:rFonts w:ascii="Arial" w:hAnsi="Arial" w:cs="Arial"/>
          <w:i/>
          <w:sz w:val="20"/>
          <w:szCs w:val="20"/>
        </w:rPr>
      </w:pPr>
      <w:r w:rsidRPr="002F0901">
        <w:rPr>
          <w:rFonts w:ascii="Arial" w:hAnsi="Arial" w:cs="Arial"/>
          <w:i/>
          <w:sz w:val="20"/>
          <w:szCs w:val="20"/>
        </w:rPr>
        <w:t>Broadcasting Services Act 1992</w:t>
      </w:r>
    </w:p>
    <w:p w14:paraId="6D4D64AD" w14:textId="47120CD1" w:rsidR="00274324" w:rsidRPr="002F0901" w:rsidRDefault="00274324" w:rsidP="00BA0F55">
      <w:pPr>
        <w:pStyle w:val="ListParagraph"/>
        <w:numPr>
          <w:ilvl w:val="0"/>
          <w:numId w:val="18"/>
        </w:numPr>
        <w:rPr>
          <w:rFonts w:ascii="Arial" w:hAnsi="Arial" w:cs="Arial"/>
          <w:i/>
          <w:sz w:val="20"/>
          <w:szCs w:val="20"/>
        </w:rPr>
      </w:pPr>
      <w:r w:rsidRPr="002F0901">
        <w:rPr>
          <w:rFonts w:ascii="Arial" w:hAnsi="Arial" w:cs="Arial"/>
          <w:i/>
          <w:sz w:val="20"/>
          <w:szCs w:val="20"/>
        </w:rPr>
        <w:t>Commonwealth Electoral Act 1918</w:t>
      </w:r>
    </w:p>
    <w:p w14:paraId="1A82781B" w14:textId="39A1A2E9" w:rsidR="00274324" w:rsidRPr="003A0A8B" w:rsidRDefault="00274324" w:rsidP="00BA0F55">
      <w:pPr>
        <w:pStyle w:val="ListParagraph"/>
        <w:numPr>
          <w:ilvl w:val="0"/>
          <w:numId w:val="18"/>
        </w:numPr>
        <w:rPr>
          <w:rFonts w:ascii="Arial" w:hAnsi="Arial" w:cs="Arial"/>
          <w:i/>
          <w:sz w:val="20"/>
          <w:szCs w:val="20"/>
        </w:rPr>
      </w:pPr>
      <w:r w:rsidRPr="003A0A8B">
        <w:rPr>
          <w:rFonts w:ascii="Arial" w:hAnsi="Arial" w:cs="Arial"/>
          <w:i/>
          <w:sz w:val="20"/>
          <w:szCs w:val="20"/>
        </w:rPr>
        <w:t xml:space="preserve">Commonwealth </w:t>
      </w:r>
      <w:r w:rsidR="00E92219" w:rsidRPr="003A0A8B">
        <w:rPr>
          <w:rFonts w:ascii="Arial" w:hAnsi="Arial" w:cs="Arial"/>
          <w:i/>
          <w:sz w:val="20"/>
          <w:szCs w:val="20"/>
        </w:rPr>
        <w:t xml:space="preserve">Electoral </w:t>
      </w:r>
      <w:r w:rsidR="00605C77" w:rsidRPr="003A0A8B">
        <w:rPr>
          <w:rFonts w:ascii="Arial" w:hAnsi="Arial" w:cs="Arial"/>
          <w:i/>
          <w:sz w:val="20"/>
          <w:szCs w:val="20"/>
        </w:rPr>
        <w:t xml:space="preserve">(Authorisation of Voter Communication) </w:t>
      </w:r>
      <w:r w:rsidR="00E92219" w:rsidRPr="003A0A8B">
        <w:rPr>
          <w:rFonts w:ascii="Arial" w:hAnsi="Arial" w:cs="Arial"/>
          <w:i/>
          <w:sz w:val="20"/>
          <w:szCs w:val="20"/>
        </w:rPr>
        <w:t>Determination 2018</w:t>
      </w:r>
    </w:p>
    <w:p w14:paraId="08F396EB" w14:textId="03F179C9" w:rsidR="0029695B" w:rsidRPr="00605C77" w:rsidRDefault="0029695B" w:rsidP="00BA0F55">
      <w:pPr>
        <w:pStyle w:val="ListParagraph"/>
        <w:numPr>
          <w:ilvl w:val="0"/>
          <w:numId w:val="18"/>
        </w:numPr>
        <w:rPr>
          <w:rFonts w:ascii="Arial" w:hAnsi="Arial" w:cs="Arial"/>
          <w:i/>
          <w:sz w:val="20"/>
          <w:szCs w:val="20"/>
        </w:rPr>
      </w:pPr>
      <w:r>
        <w:rPr>
          <w:rFonts w:ascii="Arial" w:hAnsi="Arial" w:cs="Arial"/>
          <w:i/>
          <w:iCs/>
          <w:sz w:val="20"/>
          <w:szCs w:val="20"/>
          <w:shd w:val="clear" w:color="auto" w:fill="FFFFFF"/>
        </w:rPr>
        <w:t>Referendum (Machinery Provisions) Act 1984</w:t>
      </w:r>
    </w:p>
    <w:p w14:paraId="485A50D9" w14:textId="4AC89DFF" w:rsidR="008E71BB" w:rsidRDefault="00DA03BB" w:rsidP="00D57154">
      <w:pPr>
        <w:rPr>
          <w:rFonts w:cs="Arial"/>
          <w:b/>
          <w:bCs/>
          <w:iCs/>
          <w:sz w:val="28"/>
          <w:szCs w:val="28"/>
        </w:rPr>
      </w:pPr>
      <w:r>
        <w:t>These can</w:t>
      </w:r>
      <w:r w:rsidR="00D37665">
        <w:t xml:space="preserve"> be</w:t>
      </w:r>
      <w:r>
        <w:t xml:space="preserve"> accessed at </w:t>
      </w:r>
      <w:hyperlink r:id="rId33" w:history="1">
        <w:r w:rsidRPr="00434512">
          <w:rPr>
            <w:rStyle w:val="Hyperlink"/>
          </w:rPr>
          <w:t>legislation.gov.au</w:t>
        </w:r>
      </w:hyperlink>
      <w:r>
        <w:t xml:space="preserve">. </w:t>
      </w:r>
      <w:r w:rsidR="008E71BB">
        <w:br w:type="page"/>
      </w:r>
    </w:p>
    <w:p w14:paraId="616343ED" w14:textId="09FA502E" w:rsidR="00F35A11" w:rsidRDefault="00F35A11" w:rsidP="00F35A11">
      <w:pPr>
        <w:pStyle w:val="Heading1"/>
      </w:pPr>
      <w:bookmarkStart w:id="9" w:name="_Toc10638995"/>
      <w:r>
        <w:lastRenderedPageBreak/>
        <w:t>Political matter</w:t>
      </w:r>
      <w:bookmarkEnd w:id="9"/>
    </w:p>
    <w:p w14:paraId="63DACA96" w14:textId="46B9CFBC" w:rsidR="00465D8F" w:rsidRDefault="008E71BB" w:rsidP="00465D8F">
      <w:pPr>
        <w:pStyle w:val="Heading2"/>
      </w:pPr>
      <w:bookmarkStart w:id="10" w:name="_Toc10638996"/>
      <w:r>
        <w:t>Broadcasting political matter</w:t>
      </w:r>
      <w:r w:rsidR="006664AA">
        <w:t>—</w:t>
      </w:r>
      <w:r>
        <w:t>t</w:t>
      </w:r>
      <w:r w:rsidR="00465D8F">
        <w:t>he basic rule</w:t>
      </w:r>
      <w:bookmarkEnd w:id="10"/>
      <w:r w:rsidR="00465D8F">
        <w:t xml:space="preserve"> </w:t>
      </w:r>
    </w:p>
    <w:p w14:paraId="71D47175" w14:textId="2A1FCFCA" w:rsidR="00A023D5" w:rsidRDefault="00157833" w:rsidP="00D42312">
      <w:r>
        <w:t>I</w:t>
      </w:r>
      <w:r w:rsidR="000111C1">
        <w:t xml:space="preserve">f </w:t>
      </w:r>
      <w:r w:rsidR="00465D8F" w:rsidRPr="00BF1BC5">
        <w:t xml:space="preserve">a </w:t>
      </w:r>
      <w:r w:rsidR="001B0ACF">
        <w:t>licensee</w:t>
      </w:r>
      <w:r w:rsidR="001B0ACF" w:rsidRPr="00BF1BC5">
        <w:t xml:space="preserve"> </w:t>
      </w:r>
      <w:r w:rsidR="00465D8F" w:rsidRPr="00BF1BC5">
        <w:t xml:space="preserve">broadcasts political matter at the request of another person, the </w:t>
      </w:r>
      <w:r w:rsidR="001B0ACF">
        <w:t>licensee</w:t>
      </w:r>
      <w:r w:rsidR="00465D8F" w:rsidRPr="00BF1BC5">
        <w:t xml:space="preserve"> must ensure that </w:t>
      </w:r>
      <w:r>
        <w:t>authorisation details (called ‘</w:t>
      </w:r>
      <w:r w:rsidR="00465D8F" w:rsidRPr="00BF1BC5">
        <w:t>required particulars</w:t>
      </w:r>
      <w:r>
        <w:t>’)</w:t>
      </w:r>
      <w:r w:rsidR="00465D8F" w:rsidRPr="00BF1BC5">
        <w:t xml:space="preserve"> are announced</w:t>
      </w:r>
      <w:r>
        <w:t xml:space="preserve"> (s</w:t>
      </w:r>
      <w:r w:rsidRPr="004C3C19">
        <w:t>ubclause 4(2) of Schedule 2</w:t>
      </w:r>
      <w:r w:rsidRPr="007A0368">
        <w:t xml:space="preserve"> to the BSA</w:t>
      </w:r>
      <w:r>
        <w:t xml:space="preserve">). </w:t>
      </w:r>
    </w:p>
    <w:p w14:paraId="5B9AD846" w14:textId="11CC3B07" w:rsidR="00465D8F" w:rsidRDefault="00157833" w:rsidP="008F752A">
      <w:r>
        <w:t>The content of the required particulars</w:t>
      </w:r>
      <w:r w:rsidR="00585313">
        <w:t xml:space="preserve"> (see below)</w:t>
      </w:r>
      <w:r>
        <w:t xml:space="preserve"> is </w:t>
      </w:r>
      <w:r w:rsidR="00A023D5">
        <w:t>specified in the BSA (</w:t>
      </w:r>
      <w:r w:rsidR="00DE53F6">
        <w:t>sub</w:t>
      </w:r>
      <w:r w:rsidR="00A023D5">
        <w:t>clause 1</w:t>
      </w:r>
      <w:r w:rsidR="00DE53F6">
        <w:t>(2)</w:t>
      </w:r>
      <w:r w:rsidR="00A023D5">
        <w:t xml:space="preserve"> of Schedule 2) and </w:t>
      </w:r>
      <w:r w:rsidR="000111C1">
        <w:t xml:space="preserve">the </w:t>
      </w:r>
      <w:r w:rsidR="000111C1" w:rsidRPr="000D0ED0">
        <w:rPr>
          <w:i/>
        </w:rPr>
        <w:t>Commonwealth Electoral Act 1918</w:t>
      </w:r>
      <w:r w:rsidR="002A1EF3">
        <w:rPr>
          <w:i/>
        </w:rPr>
        <w:t xml:space="preserve"> </w:t>
      </w:r>
      <w:r w:rsidR="002A1EF3">
        <w:t>(</w:t>
      </w:r>
      <w:r>
        <w:t>subsection 321D(7))</w:t>
      </w:r>
      <w:r w:rsidR="005A0074">
        <w:t xml:space="preserve"> and must </w:t>
      </w:r>
      <w:r w:rsidR="00FD2F9D" w:rsidRPr="009C1D02">
        <w:t xml:space="preserve">be placed in a broadcast in accordance with the requirements </w:t>
      </w:r>
      <w:r w:rsidR="00775DC4" w:rsidRPr="009C1D02">
        <w:t xml:space="preserve">in </w:t>
      </w:r>
      <w:r w:rsidR="00FD2F9D" w:rsidRPr="009C1D02">
        <w:t>clause 10</w:t>
      </w:r>
      <w:r w:rsidR="001E7EA8" w:rsidRPr="009C1D02">
        <w:t xml:space="preserve"> </w:t>
      </w:r>
      <w:r w:rsidR="00775DC4" w:rsidRPr="009C1D02">
        <w:t>of</w:t>
      </w:r>
      <w:r w:rsidR="001E7EA8">
        <w:t xml:space="preserve"> the </w:t>
      </w:r>
      <w:r w:rsidR="002A1EF3" w:rsidRPr="003A0A8B">
        <w:rPr>
          <w:rFonts w:cs="Arial"/>
          <w:i/>
          <w:szCs w:val="20"/>
        </w:rPr>
        <w:t xml:space="preserve">Commonwealth Electoral </w:t>
      </w:r>
      <w:r w:rsidR="00CC49A9" w:rsidRPr="003A0A8B">
        <w:rPr>
          <w:rFonts w:cs="Arial"/>
          <w:i/>
          <w:szCs w:val="20"/>
        </w:rPr>
        <w:t xml:space="preserve">(Authorisation </w:t>
      </w:r>
      <w:r w:rsidR="00E60F5E" w:rsidRPr="003A0A8B">
        <w:rPr>
          <w:rFonts w:cs="Arial"/>
          <w:i/>
          <w:szCs w:val="20"/>
        </w:rPr>
        <w:t xml:space="preserve">of Voter Communication) </w:t>
      </w:r>
      <w:r w:rsidR="002A1EF3" w:rsidRPr="003A0A8B">
        <w:rPr>
          <w:rFonts w:cs="Arial"/>
          <w:i/>
          <w:szCs w:val="20"/>
        </w:rPr>
        <w:t>Determination 2018</w:t>
      </w:r>
      <w:r w:rsidR="00E60F5E" w:rsidRPr="00A56A02">
        <w:rPr>
          <w:rFonts w:cs="Arial"/>
          <w:i/>
          <w:szCs w:val="20"/>
        </w:rPr>
        <w:t xml:space="preserve"> </w:t>
      </w:r>
      <w:r w:rsidR="00E60F5E" w:rsidRPr="00A56A02">
        <w:rPr>
          <w:rFonts w:cs="Arial"/>
          <w:szCs w:val="20"/>
        </w:rPr>
        <w:t>(the Commonwealth Electoral Determination)</w:t>
      </w:r>
      <w:r w:rsidR="00465D8F" w:rsidRPr="001638A2">
        <w:rPr>
          <w:szCs w:val="20"/>
        </w:rPr>
        <w:t>.</w:t>
      </w:r>
      <w:r w:rsidR="00465D8F" w:rsidRPr="00BF1BC5">
        <w:t xml:space="preserve"> </w:t>
      </w:r>
    </w:p>
    <w:p w14:paraId="5E57A2CD" w14:textId="51B69D96" w:rsidR="008D3CAE" w:rsidRPr="002D7C25" w:rsidRDefault="008D3CAE" w:rsidP="002D7C25">
      <w:pPr>
        <w:spacing w:after="80"/>
      </w:pPr>
      <w:r>
        <w:t xml:space="preserve">Clause 10 of the </w:t>
      </w:r>
      <w:r w:rsidRPr="002D7C25">
        <w:t>Commonwealth Electoral Determination requires that:</w:t>
      </w:r>
    </w:p>
    <w:p w14:paraId="3A5932C4" w14:textId="0D620DDE" w:rsidR="00AA3669" w:rsidRPr="009F716E" w:rsidRDefault="009F716E" w:rsidP="002D7C25">
      <w:pPr>
        <w:pStyle w:val="ListBullet"/>
      </w:pPr>
      <w:r>
        <w:t>f</w:t>
      </w:r>
      <w:r w:rsidR="00AA3669" w:rsidRPr="009F716E">
        <w:t>or a broadcast by radio, the required particulars must be announced at the end of the communication in the language used for the rest of the communication</w:t>
      </w:r>
    </w:p>
    <w:p w14:paraId="65C873E2" w14:textId="7B040E4E" w:rsidR="00AA3669" w:rsidRPr="009F716E" w:rsidRDefault="009F716E" w:rsidP="002D7C25">
      <w:pPr>
        <w:pStyle w:val="ListBullet"/>
        <w:spacing w:after="240"/>
      </w:pPr>
      <w:r>
        <w:t>f</w:t>
      </w:r>
      <w:r w:rsidRPr="002D7C25">
        <w:t>or a broadcast by television, the required particulars must be announced and shown at the end of the communication in the language used for the rest of the communication</w:t>
      </w:r>
      <w:r>
        <w:t>.</w:t>
      </w:r>
    </w:p>
    <w:p w14:paraId="13F4EC85" w14:textId="77777777" w:rsidR="00465D8F" w:rsidRDefault="00465D8F" w:rsidP="00AF0DEB">
      <w:pPr>
        <w:spacing w:after="80"/>
      </w:pPr>
      <w:r>
        <w:t>If the ACMA investigates compliance with the relevant licence condition, it will ask:</w:t>
      </w:r>
    </w:p>
    <w:p w14:paraId="36225B8C" w14:textId="05BAA30B" w:rsidR="00465D8F" w:rsidRDefault="00DC2D29" w:rsidP="00F4504A">
      <w:pPr>
        <w:pStyle w:val="ListBullet"/>
      </w:pPr>
      <w:r>
        <w:t>D</w:t>
      </w:r>
      <w:r w:rsidR="00465D8F">
        <w:t>id the broadcast material include political matter?</w:t>
      </w:r>
    </w:p>
    <w:p w14:paraId="5F1ECA4C" w14:textId="640D829C" w:rsidR="00465D8F" w:rsidRDefault="00DC2D29" w:rsidP="00F4504A">
      <w:pPr>
        <w:pStyle w:val="ListBullet"/>
      </w:pPr>
      <w:r>
        <w:t>I</w:t>
      </w:r>
      <w:r w:rsidR="00465D8F">
        <w:t>f so, was the broadcast made at the request of another person?</w:t>
      </w:r>
    </w:p>
    <w:p w14:paraId="3B43A78B" w14:textId="75587B8D" w:rsidR="00465D8F" w:rsidRDefault="00DC2D29" w:rsidP="002F0901">
      <w:pPr>
        <w:pStyle w:val="ListBullet"/>
        <w:spacing w:after="240"/>
      </w:pPr>
      <w:r>
        <w:t>I</w:t>
      </w:r>
      <w:r w:rsidR="00465D8F">
        <w:t>f so, were the required particulars broadcast correctly</w:t>
      </w:r>
      <w:r w:rsidR="00CC4A0A">
        <w:t>?</w:t>
      </w:r>
    </w:p>
    <w:p w14:paraId="7336ABFD" w14:textId="5C24E332" w:rsidR="00D42312" w:rsidRPr="00BF1BC5" w:rsidRDefault="00D42312" w:rsidP="00D42312">
      <w:pPr>
        <w:spacing w:after="80"/>
      </w:pPr>
      <w:r w:rsidRPr="00BF1BC5">
        <w:t>Key terms include:</w:t>
      </w:r>
    </w:p>
    <w:p w14:paraId="13710EBC" w14:textId="77777777" w:rsidR="00D42312" w:rsidRPr="00BF1BC5" w:rsidRDefault="00D42312" w:rsidP="001638A2">
      <w:pPr>
        <w:pStyle w:val="ListBullet"/>
      </w:pPr>
      <w:r w:rsidRPr="001638A2">
        <w:t>licensee</w:t>
      </w:r>
    </w:p>
    <w:p w14:paraId="734F05A8" w14:textId="77777777" w:rsidR="00D42312" w:rsidRPr="00BF1BC5" w:rsidRDefault="00D42312" w:rsidP="00D42312">
      <w:pPr>
        <w:pStyle w:val="ListBullet"/>
      </w:pPr>
      <w:r w:rsidRPr="00BF1BC5">
        <w:t>political matter</w:t>
      </w:r>
    </w:p>
    <w:p w14:paraId="3998E32F" w14:textId="77777777" w:rsidR="00D42312" w:rsidRPr="00BF1BC5" w:rsidRDefault="00D42312" w:rsidP="00D42312">
      <w:pPr>
        <w:pStyle w:val="ListBullet"/>
      </w:pPr>
      <w:r w:rsidRPr="00BF1BC5">
        <w:t>request of another person</w:t>
      </w:r>
    </w:p>
    <w:p w14:paraId="3950644E" w14:textId="16F17552" w:rsidR="00D42312" w:rsidRDefault="00D42312" w:rsidP="00D42312">
      <w:pPr>
        <w:pStyle w:val="ListBulletLast"/>
      </w:pPr>
      <w:r w:rsidRPr="00BF1BC5">
        <w:t>required particulars</w:t>
      </w:r>
      <w:r>
        <w:t>.</w:t>
      </w:r>
    </w:p>
    <w:p w14:paraId="482E7EA4" w14:textId="4A64E7A4" w:rsidR="00C10898" w:rsidRDefault="00C10898" w:rsidP="00C10898">
      <w:pPr>
        <w:pStyle w:val="ListBulletLast"/>
        <w:numPr>
          <w:ilvl w:val="0"/>
          <w:numId w:val="0"/>
        </w:numPr>
      </w:pPr>
      <w:r>
        <w:t xml:space="preserve">These terms are each discussed below. </w:t>
      </w:r>
    </w:p>
    <w:p w14:paraId="736B9C6F" w14:textId="41698952" w:rsidR="00465D8F" w:rsidRPr="00BF1BC5" w:rsidRDefault="00465D8F" w:rsidP="00465D8F">
      <w:pPr>
        <w:pStyle w:val="Heading2"/>
      </w:pPr>
      <w:bookmarkStart w:id="11" w:name="_Toc10638997"/>
      <w:r w:rsidRPr="00BF1BC5">
        <w:t xml:space="preserve">Which </w:t>
      </w:r>
      <w:r w:rsidR="001B0ACF">
        <w:t>licensee</w:t>
      </w:r>
      <w:r w:rsidR="001B0ACF" w:rsidRPr="00BF1BC5">
        <w:t xml:space="preserve">s </w:t>
      </w:r>
      <w:r w:rsidRPr="00BF1BC5">
        <w:t>are included?</w:t>
      </w:r>
      <w:bookmarkEnd w:id="11"/>
    </w:p>
    <w:p w14:paraId="025D405F" w14:textId="3783B272" w:rsidR="00465D8F" w:rsidRDefault="00465D8F" w:rsidP="00465D8F">
      <w:r>
        <w:t xml:space="preserve">These </w:t>
      </w:r>
      <w:r w:rsidR="00A44389">
        <w:t xml:space="preserve">provisions </w:t>
      </w:r>
      <w:r>
        <w:t xml:space="preserve">apply to </w:t>
      </w:r>
      <w:r w:rsidR="00D42312" w:rsidRPr="00227057">
        <w:t>commercial television broadcasting licensees, commercial radio broadcasting licensees, community broadcasting licensees, subscription television broadcasting licensees and persons providing broadcasting services under class licences</w:t>
      </w:r>
      <w:r w:rsidRPr="00227057">
        <w:t>.</w:t>
      </w:r>
      <w:r>
        <w:t xml:space="preserve"> </w:t>
      </w:r>
    </w:p>
    <w:p w14:paraId="4E7B1B4F" w14:textId="5E88CB1A" w:rsidR="00465D8F" w:rsidRDefault="00586645" w:rsidP="00465D8F">
      <w:r>
        <w:t xml:space="preserve">Provisions </w:t>
      </w:r>
      <w:r w:rsidR="00465D8F">
        <w:t>relating to the ABC and SBS are included in the</w:t>
      </w:r>
      <w:r w:rsidR="00AC49DA">
        <w:t>ir</w:t>
      </w:r>
      <w:r w:rsidR="00465D8F">
        <w:t xml:space="preserve"> respective </w:t>
      </w:r>
      <w:r w:rsidR="00DC2D29">
        <w:t>a</w:t>
      </w:r>
      <w:r w:rsidR="00465D8F">
        <w:t>cts.</w:t>
      </w:r>
    </w:p>
    <w:p w14:paraId="63D37247" w14:textId="630123B4" w:rsidR="00465D8F" w:rsidRDefault="00465D8F" w:rsidP="00465D8F">
      <w:pPr>
        <w:rPr>
          <w:b/>
          <w:sz w:val="28"/>
          <w:szCs w:val="28"/>
        </w:rPr>
      </w:pPr>
      <w:r>
        <w:t xml:space="preserve">The </w:t>
      </w:r>
      <w:r w:rsidR="00384286">
        <w:t>provisions</w:t>
      </w:r>
      <w:r>
        <w:t xml:space="preserve"> </w:t>
      </w:r>
      <w:r w:rsidRPr="00A56A02">
        <w:t>do not</w:t>
      </w:r>
      <w:r>
        <w:t xml:space="preserve"> apply to </w:t>
      </w:r>
      <w:r w:rsidR="00D42312">
        <w:t xml:space="preserve">non-broadcasting </w:t>
      </w:r>
      <w:r>
        <w:t>platforms</w:t>
      </w:r>
      <w:r w:rsidR="00AC49DA">
        <w:t xml:space="preserve">, for example </w:t>
      </w:r>
      <w:r w:rsidR="00EF0E56">
        <w:t>prin</w:t>
      </w:r>
      <w:r w:rsidR="002E1FE1">
        <w:t xml:space="preserve">ted material, </w:t>
      </w:r>
      <w:r w:rsidR="00AC49DA">
        <w:t>online</w:t>
      </w:r>
      <w:r w:rsidR="00656F4A">
        <w:t xml:space="preserve"> </w:t>
      </w:r>
      <w:r w:rsidR="00D42312">
        <w:t>streaming and on-demand services</w:t>
      </w:r>
      <w:r w:rsidR="00152B71">
        <w:t>,</w:t>
      </w:r>
      <w:r w:rsidR="00503835">
        <w:t xml:space="preserve"> including when such platforms are operated by licensed broadcasters.</w:t>
      </w:r>
    </w:p>
    <w:p w14:paraId="3C010C02" w14:textId="4FCD23BA" w:rsidR="0012545D" w:rsidRDefault="0012545D" w:rsidP="0012545D">
      <w:pPr>
        <w:pStyle w:val="Heading2"/>
      </w:pPr>
      <w:bookmarkStart w:id="12" w:name="_Toc10638998"/>
      <w:r>
        <w:t xml:space="preserve">What </w:t>
      </w:r>
      <w:r w:rsidR="007620A4">
        <w:t xml:space="preserve">is </w:t>
      </w:r>
      <w:r>
        <w:t>‘political matter’?</w:t>
      </w:r>
      <w:bookmarkEnd w:id="12"/>
    </w:p>
    <w:p w14:paraId="2FD17BB2" w14:textId="3BE6E41F" w:rsidR="00703161" w:rsidRDefault="00015A56" w:rsidP="00CC4A0A">
      <w:r>
        <w:t xml:space="preserve">This </w:t>
      </w:r>
      <w:r w:rsidR="000F502A">
        <w:t xml:space="preserve">is a </w:t>
      </w:r>
      <w:r w:rsidR="00555E3F">
        <w:t xml:space="preserve">fundamental </w:t>
      </w:r>
      <w:r>
        <w:t xml:space="preserve">question </w:t>
      </w:r>
      <w:r w:rsidR="00581DFB">
        <w:t>with</w:t>
      </w:r>
      <w:r w:rsidR="000F502A">
        <w:t xml:space="preserve"> </w:t>
      </w:r>
      <w:r w:rsidR="003E2CEF">
        <w:t xml:space="preserve">the potential to </w:t>
      </w:r>
      <w:r w:rsidR="00581DFB">
        <w:t xml:space="preserve">cause most uncertainty. </w:t>
      </w:r>
    </w:p>
    <w:p w14:paraId="30095491" w14:textId="114EE90E" w:rsidR="00CC4A0A" w:rsidRDefault="00CC4A0A" w:rsidP="00CC4A0A">
      <w:r w:rsidRPr="007A0368">
        <w:lastRenderedPageBreak/>
        <w:t>‘Political matter' is defined very broadly in the BSA</w:t>
      </w:r>
      <w:r w:rsidR="00A023D5">
        <w:t xml:space="preserve"> (</w:t>
      </w:r>
      <w:r w:rsidR="00A023D5" w:rsidRPr="007A0368">
        <w:t>clause 1 of Schedule 2</w:t>
      </w:r>
      <w:r w:rsidR="00A023D5">
        <w:t xml:space="preserve">) </w:t>
      </w:r>
      <w:r w:rsidRPr="007A0368">
        <w:t>to mean ‘any political matter, including the policy launch of a political party’.</w:t>
      </w:r>
      <w:r w:rsidR="002C48B9">
        <w:t xml:space="preserve"> </w:t>
      </w:r>
      <w:r w:rsidR="00A615B5">
        <w:t xml:space="preserve">Guidance as to </w:t>
      </w:r>
      <w:r w:rsidR="00F67EDE">
        <w:t>the sort of material that</w:t>
      </w:r>
      <w:r w:rsidR="00FA687B">
        <w:t xml:space="preserve"> </w:t>
      </w:r>
      <w:r w:rsidR="00F67EDE">
        <w:t>may constitute</w:t>
      </w:r>
      <w:r w:rsidR="00FA687B">
        <w:t xml:space="preserve"> political matter is </w:t>
      </w:r>
      <w:r w:rsidR="005A72F0">
        <w:t xml:space="preserve">provided primarily </w:t>
      </w:r>
      <w:r w:rsidR="001758D2">
        <w:t>through</w:t>
      </w:r>
      <w:r w:rsidR="00FA687B">
        <w:t xml:space="preserve"> </w:t>
      </w:r>
      <w:r w:rsidR="001622CF">
        <w:t xml:space="preserve">the </w:t>
      </w:r>
      <w:r w:rsidR="00FA687B">
        <w:t>ACMA</w:t>
      </w:r>
      <w:r w:rsidR="001622CF">
        <w:t>’s</w:t>
      </w:r>
      <w:r w:rsidR="00FA687B">
        <w:t xml:space="preserve"> </w:t>
      </w:r>
      <w:r w:rsidR="001758D2">
        <w:t>decision-making</w:t>
      </w:r>
      <w:r w:rsidR="00536D92">
        <w:t>,</w:t>
      </w:r>
      <w:r w:rsidR="002D2E8F">
        <w:t xml:space="preserve"> reflected in reports of </w:t>
      </w:r>
      <w:r w:rsidR="001758D2">
        <w:t xml:space="preserve">political matter </w:t>
      </w:r>
      <w:r w:rsidR="00845464">
        <w:t>investigations.</w:t>
      </w:r>
      <w:r w:rsidR="000C4A52">
        <w:t xml:space="preserve"> </w:t>
      </w:r>
    </w:p>
    <w:p w14:paraId="16918CAB" w14:textId="77777777" w:rsidR="00EA5BF6" w:rsidRPr="007A0368" w:rsidRDefault="00EA5BF6" w:rsidP="00EA5BF6">
      <w:pPr>
        <w:rPr>
          <w:i/>
        </w:rPr>
      </w:pPr>
      <w:r w:rsidRPr="007A0368">
        <w:t>What is political matter is an objective test and must be determined on a case</w:t>
      </w:r>
      <w:r>
        <w:t>-</w:t>
      </w:r>
      <w:r w:rsidRPr="007A0368">
        <w:t>by</w:t>
      </w:r>
      <w:r>
        <w:t>-</w:t>
      </w:r>
      <w:r w:rsidRPr="007A0368">
        <w:t xml:space="preserve">case basis. </w:t>
      </w:r>
      <w:r>
        <w:t>T</w:t>
      </w:r>
      <w:r w:rsidRPr="007A0368">
        <w:t xml:space="preserve">he balance can be a fine one. </w:t>
      </w:r>
    </w:p>
    <w:p w14:paraId="28BC6594" w14:textId="5FCC946D" w:rsidR="00CC4A0A" w:rsidRPr="007A0368" w:rsidRDefault="00F76CE5" w:rsidP="00A56A02">
      <w:pPr>
        <w:spacing w:after="80"/>
      </w:pPr>
      <w:r>
        <w:t xml:space="preserve">When </w:t>
      </w:r>
      <w:r w:rsidR="0069560C">
        <w:t>conducting an investigation under the BSA</w:t>
      </w:r>
      <w:r w:rsidR="00023587">
        <w:t xml:space="preserve">, the ACMA </w:t>
      </w:r>
      <w:r w:rsidR="00CC4A0A" w:rsidRPr="007A0368">
        <w:t>determin</w:t>
      </w:r>
      <w:r w:rsidR="00023587">
        <w:t>es</w:t>
      </w:r>
      <w:r w:rsidR="00CC4A0A" w:rsidRPr="007A0368">
        <w:t xml:space="preserve"> whether </w:t>
      </w:r>
      <w:r w:rsidR="00656F4A">
        <w:t xml:space="preserve">broadcast </w:t>
      </w:r>
      <w:r w:rsidR="00CC4A0A" w:rsidRPr="007A0368">
        <w:t>material is political matter</w:t>
      </w:r>
      <w:r w:rsidR="00023587">
        <w:t xml:space="preserve"> by having regard to</w:t>
      </w:r>
      <w:r w:rsidR="00CC4A0A" w:rsidRPr="007A0368">
        <w:t>:</w:t>
      </w:r>
    </w:p>
    <w:p w14:paraId="1780A2B1" w14:textId="77777777" w:rsidR="00CC4A0A" w:rsidRPr="007A0368" w:rsidRDefault="00CC4A0A" w:rsidP="00A56A02">
      <w:pPr>
        <w:pStyle w:val="ListBullet"/>
      </w:pPr>
      <w:r w:rsidRPr="007A0368">
        <w:t xml:space="preserve">the content of </w:t>
      </w:r>
      <w:r w:rsidRPr="001638A2">
        <w:t>the</w:t>
      </w:r>
      <w:r w:rsidRPr="007A0368">
        <w:t xml:space="preserve"> broadcast</w:t>
      </w:r>
    </w:p>
    <w:p w14:paraId="3CEE107B" w14:textId="346A8D03" w:rsidR="00CC4A0A" w:rsidRPr="007A0368" w:rsidRDefault="00CC4A0A" w:rsidP="00CC4A0A">
      <w:pPr>
        <w:pStyle w:val="ListBullet"/>
      </w:pPr>
      <w:r w:rsidRPr="007A0368">
        <w:t>the overall presentation of the material</w:t>
      </w:r>
      <w:r w:rsidR="004D0FAB">
        <w:t>,</w:t>
      </w:r>
      <w:r w:rsidRPr="007A0368">
        <w:t xml:space="preserve"> including the tone, style and emphasis</w:t>
      </w:r>
    </w:p>
    <w:p w14:paraId="1D3F6FFC" w14:textId="77777777" w:rsidR="007620A4" w:rsidRDefault="00CC4A0A" w:rsidP="004D71AB">
      <w:pPr>
        <w:pStyle w:val="ListBullet"/>
      </w:pPr>
      <w:r w:rsidRPr="007A0368">
        <w:t>the nature and style of accompanying audio or visual material</w:t>
      </w:r>
    </w:p>
    <w:p w14:paraId="13FB10A8" w14:textId="6DFD1578" w:rsidR="00CC4A0A" w:rsidRPr="007A0368" w:rsidRDefault="007620A4" w:rsidP="00F4406A">
      <w:pPr>
        <w:pStyle w:val="ListBullet"/>
        <w:spacing w:after="240"/>
      </w:pPr>
      <w:r w:rsidRPr="007A0368">
        <w:t>the context surrounding the broadcast</w:t>
      </w:r>
      <w:r w:rsidR="00CC4A0A" w:rsidRPr="007A0368">
        <w:t xml:space="preserve">. </w:t>
      </w:r>
    </w:p>
    <w:p w14:paraId="3254BBC9" w14:textId="67E1B28C" w:rsidR="00023E47" w:rsidRPr="003E3272" w:rsidRDefault="000947B9" w:rsidP="005A72F0">
      <w:pPr>
        <w:pStyle w:val="Heading3"/>
      </w:pPr>
      <w:bookmarkStart w:id="13" w:name="_Toc10638999"/>
      <w:bookmarkStart w:id="14" w:name="_Hlk6916157"/>
      <w:r w:rsidRPr="003E3272">
        <w:t>The content of the broadcast</w:t>
      </w:r>
      <w:bookmarkEnd w:id="13"/>
    </w:p>
    <w:p w14:paraId="1E2EE189" w14:textId="0D5B3756" w:rsidR="000131DD" w:rsidRDefault="000131DD" w:rsidP="000131DD">
      <w:r>
        <w:t xml:space="preserve">The understanding of the ordinary reasonable viewer </w:t>
      </w:r>
      <w:r w:rsidR="00EA4B78">
        <w:t>with regards to t</w:t>
      </w:r>
      <w:r>
        <w:t xml:space="preserve">he </w:t>
      </w:r>
      <w:r w:rsidR="00403720">
        <w:t xml:space="preserve">nature of the </w:t>
      </w:r>
      <w:r>
        <w:t>message</w:t>
      </w:r>
      <w:r w:rsidR="00403720">
        <w:t xml:space="preserve"> or messages</w:t>
      </w:r>
      <w:r>
        <w:t xml:space="preserve"> communicated by the </w:t>
      </w:r>
      <w:r w:rsidR="00EA4B78">
        <w:t>broadcast</w:t>
      </w:r>
      <w:r>
        <w:t xml:space="preserve"> is </w:t>
      </w:r>
      <w:r w:rsidR="00CE3F16">
        <w:t xml:space="preserve">a </w:t>
      </w:r>
      <w:r>
        <w:t>consideration</w:t>
      </w:r>
      <w:r w:rsidR="00403720">
        <w:t xml:space="preserve"> </w:t>
      </w:r>
      <w:r w:rsidR="00DB626B">
        <w:t xml:space="preserve">for </w:t>
      </w:r>
      <w:r w:rsidR="002D2E8F">
        <w:t xml:space="preserve">the ACMA </w:t>
      </w:r>
      <w:r w:rsidR="00403720">
        <w:t>in determining whether material is political</w:t>
      </w:r>
      <w:r>
        <w:t>.</w:t>
      </w:r>
      <w:r w:rsidR="0019154A">
        <w:t xml:space="preserve"> The question is asked: </w:t>
      </w:r>
      <w:r w:rsidR="00DB626B">
        <w:t>D</w:t>
      </w:r>
      <w:r w:rsidR="00631170">
        <w:t xml:space="preserve">oes the content </w:t>
      </w:r>
      <w:r w:rsidR="000708EB">
        <w:t>convey a message about matters that are</w:t>
      </w:r>
      <w:r w:rsidR="00F53726">
        <w:t xml:space="preserve"> or could be</w:t>
      </w:r>
      <w:r w:rsidR="000708EB">
        <w:t xml:space="preserve"> the subject of </w:t>
      </w:r>
      <w:r w:rsidR="00B40C4F">
        <w:t xml:space="preserve">public </w:t>
      </w:r>
      <w:r w:rsidR="00F53726">
        <w:t xml:space="preserve">political </w:t>
      </w:r>
      <w:r w:rsidR="000708EB">
        <w:t>discussion</w:t>
      </w:r>
      <w:r w:rsidR="00DB626B">
        <w:t>?</w:t>
      </w:r>
      <w:r w:rsidR="000708EB">
        <w:t xml:space="preserve"> </w:t>
      </w:r>
    </w:p>
    <w:p w14:paraId="162E4D91" w14:textId="7F66977C" w:rsidR="00CC4A0A" w:rsidRPr="005D4975" w:rsidRDefault="00CC4A0A" w:rsidP="004C3C19">
      <w:r w:rsidRPr="007A0368">
        <w:t>Some matter broadcast will obviously be political matter</w:t>
      </w:r>
      <w:r w:rsidR="00DB626B">
        <w:t>—</w:t>
      </w:r>
      <w:r w:rsidRPr="007A0368">
        <w:t>for example</w:t>
      </w:r>
      <w:r w:rsidR="000D0ED0">
        <w:t>,</w:t>
      </w:r>
      <w:r w:rsidRPr="007A0368">
        <w:t xml:space="preserve"> a broadcast </w:t>
      </w:r>
      <w:r w:rsidRPr="005D4975">
        <w:t>designed to affect how a person will vote in an election. However, it is not necessary for material to explicitly promote a political party, candidate or policy for it to be political matter</w:t>
      </w:r>
      <w:r w:rsidR="00AC49DA" w:rsidRPr="005D4975">
        <w:t>.</w:t>
      </w:r>
    </w:p>
    <w:p w14:paraId="15B3FAB2" w14:textId="34A543D3" w:rsidR="007668AF" w:rsidRPr="005D4975" w:rsidRDefault="007668AF" w:rsidP="004C3C19">
      <w:r w:rsidRPr="005D4975">
        <w:t>The content need only engage with a matter of public contention or discussion, in a meaningful way that objectively seeks to influence the audience’s position with respect to that matter.</w:t>
      </w:r>
    </w:p>
    <w:p w14:paraId="0C86F62D" w14:textId="77777777" w:rsidR="00174AF2" w:rsidRPr="005D4975" w:rsidRDefault="00174AF2" w:rsidP="00A56A02">
      <w:pPr>
        <w:pStyle w:val="Heading3"/>
      </w:pPr>
      <w:bookmarkStart w:id="15" w:name="_Toc10639000"/>
      <w:bookmarkStart w:id="16" w:name="_Hlk6916139"/>
      <w:r w:rsidRPr="005D4975">
        <w:t>Promotion of brands, products or services is not determinative</w:t>
      </w:r>
      <w:bookmarkEnd w:id="15"/>
    </w:p>
    <w:p w14:paraId="3C859F13" w14:textId="68A4C73E" w:rsidR="00C41534" w:rsidRPr="005D4975" w:rsidRDefault="00F872CF" w:rsidP="004C3C19">
      <w:r w:rsidRPr="005D4975">
        <w:t xml:space="preserve">Some material promotes brands products and services </w:t>
      </w:r>
      <w:r w:rsidR="007A6B53" w:rsidRPr="005D4975">
        <w:t xml:space="preserve">while </w:t>
      </w:r>
      <w:r w:rsidR="00D12641" w:rsidRPr="005D4975">
        <w:t>including</w:t>
      </w:r>
      <w:r w:rsidR="0036125E" w:rsidRPr="005D4975">
        <w:t xml:space="preserve"> political references. </w:t>
      </w:r>
      <w:r w:rsidR="00FF2866" w:rsidRPr="005D4975">
        <w:t xml:space="preserve">In considering whether </w:t>
      </w:r>
      <w:r w:rsidR="009E5C7D" w:rsidRPr="005D4975">
        <w:t xml:space="preserve">particular </w:t>
      </w:r>
      <w:r w:rsidR="00FF2866" w:rsidRPr="005D4975">
        <w:t>material might be political matter,</w:t>
      </w:r>
      <w:r w:rsidR="00D565C7" w:rsidRPr="005D4975">
        <w:t xml:space="preserve"> the ACMA </w:t>
      </w:r>
      <w:r w:rsidR="00C37D20" w:rsidRPr="005D4975">
        <w:t xml:space="preserve">takes </w:t>
      </w:r>
      <w:r w:rsidR="00D565C7" w:rsidRPr="005D4975">
        <w:t>into account</w:t>
      </w:r>
      <w:r w:rsidR="00B76A47" w:rsidRPr="005D4975">
        <w:t xml:space="preserve"> a range of factors including</w:t>
      </w:r>
      <w:r w:rsidR="00FF2866" w:rsidRPr="005D4975">
        <w:t xml:space="preserve"> </w:t>
      </w:r>
      <w:r w:rsidR="004D452B" w:rsidRPr="005D4975">
        <w:t xml:space="preserve">the </w:t>
      </w:r>
      <w:r w:rsidR="00BC7D07" w:rsidRPr="005D4975">
        <w:t xml:space="preserve">content, overall </w:t>
      </w:r>
      <w:r w:rsidR="00E8619B" w:rsidRPr="005D4975">
        <w:t>presentation of the material</w:t>
      </w:r>
      <w:r w:rsidR="00BC7D07" w:rsidRPr="005D4975">
        <w:t xml:space="preserve"> </w:t>
      </w:r>
      <w:r w:rsidR="001F659C" w:rsidRPr="005D4975">
        <w:t>and emphasis</w:t>
      </w:r>
      <w:r w:rsidR="00E8619B" w:rsidRPr="005D4975">
        <w:t xml:space="preserve"> and style</w:t>
      </w:r>
      <w:r w:rsidR="00D565C7" w:rsidRPr="005D4975">
        <w:t>.</w:t>
      </w:r>
    </w:p>
    <w:p w14:paraId="663493C9" w14:textId="1DCE678F" w:rsidR="00FF2866" w:rsidRPr="005D4975" w:rsidRDefault="00C41534" w:rsidP="004C3C19">
      <w:r w:rsidRPr="005D4975">
        <w:t>Fo</w:t>
      </w:r>
      <w:r w:rsidR="001F659C" w:rsidRPr="005D4975">
        <w:t>r example,</w:t>
      </w:r>
      <w:r w:rsidR="008D5CD4" w:rsidRPr="005D4975">
        <w:t xml:space="preserve"> mat</w:t>
      </w:r>
      <w:r w:rsidR="00174AF2" w:rsidRPr="005D4975">
        <w:t>erial</w:t>
      </w:r>
      <w:r w:rsidR="008D5CD4" w:rsidRPr="005D4975">
        <w:t xml:space="preserve"> </w:t>
      </w:r>
      <w:r w:rsidR="00AC493E" w:rsidRPr="005D4975">
        <w:t>may</w:t>
      </w:r>
      <w:r w:rsidR="002F4FD5" w:rsidRPr="005D4975">
        <w:t xml:space="preserve"> </w:t>
      </w:r>
      <w:r w:rsidR="008D5CD4" w:rsidRPr="005D4975">
        <w:t xml:space="preserve">promote a brand, product or service, </w:t>
      </w:r>
      <w:r w:rsidR="001F659C" w:rsidRPr="005D4975">
        <w:t>and</w:t>
      </w:r>
      <w:r w:rsidR="00187A30" w:rsidRPr="005D4975">
        <w:t xml:space="preserve"> also</w:t>
      </w:r>
      <w:r w:rsidR="001F659C" w:rsidRPr="005D4975">
        <w:t xml:space="preserve"> </w:t>
      </w:r>
      <w:r w:rsidR="008D5CD4" w:rsidRPr="005D4975">
        <w:t xml:space="preserve">refer to something that is political, </w:t>
      </w:r>
      <w:r w:rsidR="001F659C" w:rsidRPr="005D4975">
        <w:t xml:space="preserve">but </w:t>
      </w:r>
      <w:r w:rsidR="008D5CD4" w:rsidRPr="005D4975">
        <w:t>does so in</w:t>
      </w:r>
      <w:r w:rsidR="00174AF2" w:rsidRPr="005D4975">
        <w:t xml:space="preserve"> </w:t>
      </w:r>
      <w:r w:rsidR="008D5CD4" w:rsidRPr="005D4975">
        <w:t xml:space="preserve">a </w:t>
      </w:r>
      <w:r w:rsidR="00226EE9" w:rsidRPr="005D4975">
        <w:t xml:space="preserve">way that is attempting to influence the audience’s position with respect to the brand rather than influence the audience’s position with respect to the political content </w:t>
      </w:r>
      <w:r w:rsidR="00174AF2" w:rsidRPr="005D4975">
        <w:t xml:space="preserve">(see </w:t>
      </w:r>
      <w:hyperlink w:anchor="_Case_study_3" w:history="1">
        <w:r w:rsidR="00DB626B" w:rsidRPr="00DB626B">
          <w:rPr>
            <w:rStyle w:val="Hyperlink"/>
          </w:rPr>
          <w:t>c</w:t>
        </w:r>
        <w:r w:rsidR="00174AF2" w:rsidRPr="00DB626B">
          <w:rPr>
            <w:rStyle w:val="Hyperlink"/>
          </w:rPr>
          <w:t xml:space="preserve">ase </w:t>
        </w:r>
        <w:r w:rsidR="00F71893" w:rsidRPr="00DB626B">
          <w:rPr>
            <w:rStyle w:val="Hyperlink"/>
          </w:rPr>
          <w:t>s</w:t>
        </w:r>
        <w:r w:rsidR="00174AF2" w:rsidRPr="00DB626B">
          <w:rPr>
            <w:rStyle w:val="Hyperlink"/>
          </w:rPr>
          <w:t>tudy 3</w:t>
        </w:r>
      </w:hyperlink>
      <w:r w:rsidR="00174AF2" w:rsidRPr="005D4975">
        <w:t xml:space="preserve">). Such material </w:t>
      </w:r>
      <w:r w:rsidR="0023527E" w:rsidRPr="005D4975">
        <w:t>is unlikely to be regarded as</w:t>
      </w:r>
      <w:r w:rsidR="00174AF2" w:rsidRPr="005D4975">
        <w:t xml:space="preserve"> political matter. </w:t>
      </w:r>
      <w:r w:rsidR="00D12641" w:rsidRPr="005D4975">
        <w:t xml:space="preserve">Conversely, </w:t>
      </w:r>
      <w:r w:rsidR="00276676" w:rsidRPr="005D4975">
        <w:t xml:space="preserve">other </w:t>
      </w:r>
      <w:r w:rsidR="00174AF2" w:rsidRPr="005D4975">
        <w:t>m</w:t>
      </w:r>
      <w:r w:rsidR="004657F4" w:rsidRPr="005D4975">
        <w:t>aterial</w:t>
      </w:r>
      <w:r w:rsidR="00174AF2" w:rsidRPr="005D4975">
        <w:t xml:space="preserve"> </w:t>
      </w:r>
      <w:r w:rsidR="00C25BF7" w:rsidRPr="005D4975">
        <w:t>might</w:t>
      </w:r>
      <w:r w:rsidR="00174AF2" w:rsidRPr="005D4975">
        <w:t xml:space="preserve"> contain</w:t>
      </w:r>
      <w:r w:rsidR="00C25BF7" w:rsidRPr="005D4975">
        <w:t xml:space="preserve"> </w:t>
      </w:r>
      <w:r w:rsidR="00174AF2" w:rsidRPr="005D4975">
        <w:t xml:space="preserve">content that promotes a brand, product or service, </w:t>
      </w:r>
      <w:r w:rsidR="00C25BF7" w:rsidRPr="005D4975">
        <w:t xml:space="preserve">but also includes </w:t>
      </w:r>
      <w:r w:rsidR="00174AF2" w:rsidRPr="005D4975">
        <w:t xml:space="preserve">other content </w:t>
      </w:r>
      <w:r w:rsidR="008D5CD4" w:rsidRPr="005D4975">
        <w:t>that</w:t>
      </w:r>
      <w:r w:rsidR="00174AF2" w:rsidRPr="005D4975">
        <w:t xml:space="preserve"> does</w:t>
      </w:r>
      <w:r w:rsidR="008D5CD4" w:rsidRPr="005D4975">
        <w:t xml:space="preserve"> engage with matters of public contention or discussion</w:t>
      </w:r>
      <w:r w:rsidR="00174AF2" w:rsidRPr="005D4975">
        <w:t xml:space="preserve"> in meaningful way</w:t>
      </w:r>
      <w:r w:rsidR="008D5CD4" w:rsidRPr="005D4975">
        <w:t xml:space="preserve">. </w:t>
      </w:r>
      <w:r w:rsidR="00174AF2" w:rsidRPr="005D4975">
        <w:t>Such material may well be</w:t>
      </w:r>
      <w:r w:rsidR="002E3571" w:rsidRPr="005D4975">
        <w:t xml:space="preserve"> regarded as</w:t>
      </w:r>
      <w:r w:rsidR="00174AF2" w:rsidRPr="005D4975">
        <w:t xml:space="preserve"> political matter. </w:t>
      </w:r>
    </w:p>
    <w:p w14:paraId="67531D55" w14:textId="1267A800" w:rsidR="007668AF" w:rsidRDefault="00B67FFA" w:rsidP="004C3C19">
      <w:r w:rsidRPr="005D4975">
        <w:t>M</w:t>
      </w:r>
      <w:r w:rsidR="007668AF" w:rsidRPr="005D4975">
        <w:t xml:space="preserve">aterial may highlight </w:t>
      </w:r>
      <w:r w:rsidR="00D54CF6" w:rsidRPr="005D4975">
        <w:t>certain actions taken</w:t>
      </w:r>
      <w:r w:rsidR="00CD7F1B" w:rsidRPr="005D4975">
        <w:t>, or beliefs held</w:t>
      </w:r>
      <w:r w:rsidR="00D54CF6" w:rsidRPr="005D4975">
        <w:t xml:space="preserve"> by an organisation or business</w:t>
      </w:r>
      <w:r w:rsidR="003C2938" w:rsidRPr="005D4975">
        <w:t xml:space="preserve"> </w:t>
      </w:r>
      <w:r w:rsidR="002D7A7A" w:rsidRPr="005D4975">
        <w:t xml:space="preserve">about </w:t>
      </w:r>
      <w:r w:rsidR="007668AF" w:rsidRPr="005D4975">
        <w:t xml:space="preserve">matters of public contention or discussion as a way of promoting that </w:t>
      </w:r>
      <w:r w:rsidR="004D2926" w:rsidRPr="005D4975">
        <w:t>organisation</w:t>
      </w:r>
      <w:r w:rsidR="007668AF" w:rsidRPr="005D4975">
        <w:t xml:space="preserve"> to an audience. </w:t>
      </w:r>
      <w:r w:rsidR="00C17A39" w:rsidRPr="005D4975">
        <w:t>S</w:t>
      </w:r>
      <w:r w:rsidR="007668AF" w:rsidRPr="005D4975">
        <w:t xml:space="preserve">uch material may become political </w:t>
      </w:r>
      <w:r w:rsidR="00C17A39" w:rsidRPr="005D4975">
        <w:t>if</w:t>
      </w:r>
      <w:r w:rsidR="007668AF" w:rsidRPr="005D4975">
        <w:t xml:space="preserve"> </w:t>
      </w:r>
      <w:r w:rsidR="004D2926" w:rsidRPr="005D4975">
        <w:t xml:space="preserve">it </w:t>
      </w:r>
      <w:r w:rsidR="007668AF" w:rsidRPr="005D4975">
        <w:t xml:space="preserve">engages </w:t>
      </w:r>
      <w:r w:rsidR="00D13675" w:rsidRPr="005D4975">
        <w:t xml:space="preserve">with the </w:t>
      </w:r>
      <w:r w:rsidR="00CD7F1B" w:rsidRPr="005D4975">
        <w:t>broader issues underpinni</w:t>
      </w:r>
      <w:r w:rsidR="00382B17" w:rsidRPr="005D4975">
        <w:t xml:space="preserve">ng those actions or beliefs. </w:t>
      </w:r>
      <w:r w:rsidR="007668AF">
        <w:t xml:space="preserve"> </w:t>
      </w:r>
    </w:p>
    <w:p w14:paraId="516A0390" w14:textId="77777777" w:rsidR="00A85E17" w:rsidRDefault="00EA60F7" w:rsidP="00A56A02">
      <w:pPr>
        <w:pStyle w:val="Heading3"/>
      </w:pPr>
      <w:bookmarkStart w:id="17" w:name="_Toc10639001"/>
      <w:bookmarkEnd w:id="14"/>
      <w:bookmarkEnd w:id="16"/>
      <w:r w:rsidRPr="00EA60F7">
        <w:lastRenderedPageBreak/>
        <w:t>The overall presentation of the material, including the tone, style and emphasis</w:t>
      </w:r>
      <w:bookmarkEnd w:id="17"/>
    </w:p>
    <w:p w14:paraId="22F8E85B" w14:textId="74BDFF58" w:rsidR="00CC4A0A" w:rsidRPr="007A0368" w:rsidRDefault="00EA60F7" w:rsidP="00CC4A0A">
      <w:r w:rsidRPr="00EA60F7" w:rsidDel="00D55550">
        <w:rPr>
          <w:b/>
        </w:rPr>
        <w:t xml:space="preserve"> </w:t>
      </w:r>
      <w:r w:rsidR="00207F4F">
        <w:t>M</w:t>
      </w:r>
      <w:r w:rsidR="00CC4A0A" w:rsidRPr="007A0368" w:rsidDel="005F6E58">
        <w:t xml:space="preserve">aterial </w:t>
      </w:r>
      <w:r w:rsidR="00207F4F">
        <w:t xml:space="preserve">may </w:t>
      </w:r>
      <w:r w:rsidR="00CC4A0A" w:rsidRPr="007A0368" w:rsidDel="005F6E58">
        <w:t xml:space="preserve">be political matter if it seeks to persuade the audience to a political point of view, even </w:t>
      </w:r>
      <w:r w:rsidR="00A023D5">
        <w:t>if at the time</w:t>
      </w:r>
      <w:r w:rsidR="00CC4A0A" w:rsidRPr="007A0368" w:rsidDel="005F6E58">
        <w:t xml:space="preserve"> there is no </w:t>
      </w:r>
      <w:r w:rsidR="00A023D5">
        <w:t xml:space="preserve">public </w:t>
      </w:r>
      <w:r w:rsidR="00CC4A0A" w:rsidRPr="007A0368" w:rsidDel="005F6E58">
        <w:t xml:space="preserve">proposal to change the law about the issue. </w:t>
      </w:r>
    </w:p>
    <w:p w14:paraId="41F69FE2" w14:textId="44F1458F" w:rsidR="00CC4A0A" w:rsidRDefault="00CC4A0A" w:rsidP="00CC4A0A">
      <w:r w:rsidRPr="007A0368" w:rsidDel="005F6E58">
        <w:t>It may</w:t>
      </w:r>
      <w:r w:rsidRPr="007A0368">
        <w:t xml:space="preserve"> also</w:t>
      </w:r>
      <w:r w:rsidRPr="007A0368" w:rsidDel="005F6E58">
        <w:t xml:space="preserve"> be enough if the broadcast is likely to influence the </w:t>
      </w:r>
      <w:r w:rsidRPr="007A0368">
        <w:t>audience</w:t>
      </w:r>
      <w:r w:rsidRPr="007A0368" w:rsidDel="005F6E58">
        <w:t xml:space="preserve"> about a political issue</w:t>
      </w:r>
      <w:r w:rsidRPr="007A0368">
        <w:t xml:space="preserve">, regardless of the intention of the person requesting the </w:t>
      </w:r>
      <w:r w:rsidR="00A023D5">
        <w:t xml:space="preserve">broadcast of the </w:t>
      </w:r>
      <w:r w:rsidRPr="007A0368">
        <w:t>matter. It is also not essential that the approach be express, rather than indirect, for the broadcast to be political matter.</w:t>
      </w:r>
      <w:r w:rsidR="00AC49DA">
        <w:t xml:space="preserve"> </w:t>
      </w:r>
    </w:p>
    <w:p w14:paraId="7706550A" w14:textId="0771A1F0" w:rsidR="006F37FB" w:rsidRPr="007A0368" w:rsidRDefault="006F37FB" w:rsidP="00CC4A0A">
      <w:r>
        <w:t xml:space="preserve">Further </w:t>
      </w:r>
      <w:r w:rsidR="00E67D55">
        <w:t>consideration</w:t>
      </w:r>
      <w:r>
        <w:t xml:space="preserve"> </w:t>
      </w:r>
      <w:r w:rsidR="00E67D55">
        <w:t xml:space="preserve">about the intent of </w:t>
      </w:r>
      <w:r w:rsidR="00DB626B">
        <w:t xml:space="preserve">a </w:t>
      </w:r>
      <w:r w:rsidR="00E67D55">
        <w:t xml:space="preserve">broadcast can be found at </w:t>
      </w:r>
      <w:hyperlink w:anchor="_Case_study_5" w:history="1">
        <w:r w:rsidR="00DB626B" w:rsidRPr="00DB626B">
          <w:rPr>
            <w:rStyle w:val="Hyperlink"/>
          </w:rPr>
          <w:t>c</w:t>
        </w:r>
        <w:r w:rsidR="00E67D55" w:rsidRPr="00DB626B">
          <w:rPr>
            <w:rStyle w:val="Hyperlink"/>
          </w:rPr>
          <w:t>ase study 5</w:t>
        </w:r>
      </w:hyperlink>
      <w:r w:rsidR="00E67D55">
        <w:t>.</w:t>
      </w:r>
    </w:p>
    <w:p w14:paraId="3F3351F1" w14:textId="300654C1" w:rsidR="00F63858" w:rsidRPr="00C06489" w:rsidRDefault="00F63858" w:rsidP="002D7C25">
      <w:pPr>
        <w:pStyle w:val="Heading3"/>
      </w:pPr>
      <w:bookmarkStart w:id="18" w:name="_Toc10639002"/>
      <w:r w:rsidRPr="003E3272">
        <w:t>The nature and style of accompanying audio or visual material</w:t>
      </w:r>
      <w:bookmarkEnd w:id="18"/>
    </w:p>
    <w:p w14:paraId="59738146" w14:textId="2D5E2797" w:rsidR="00F63858" w:rsidRPr="002D7C25" w:rsidRDefault="008B4E79" w:rsidP="00CC4A0A">
      <w:r>
        <w:t xml:space="preserve">Political matter </w:t>
      </w:r>
      <w:r w:rsidR="00027695">
        <w:t xml:space="preserve">may include </w:t>
      </w:r>
      <w:r w:rsidR="003D6AF5">
        <w:t xml:space="preserve">individual </w:t>
      </w:r>
      <w:r w:rsidR="00027695">
        <w:t>components</w:t>
      </w:r>
      <w:r w:rsidR="003D6AF5">
        <w:t xml:space="preserve"> that contribute to th</w:t>
      </w:r>
      <w:r w:rsidR="0067639E">
        <w:t>e communication of a political message</w:t>
      </w:r>
      <w:r w:rsidR="00AB199C">
        <w:t>. These may be images or audio that the ordinary re</w:t>
      </w:r>
      <w:r w:rsidR="00521943">
        <w:t>a</w:t>
      </w:r>
      <w:r w:rsidR="00AB199C">
        <w:t>so</w:t>
      </w:r>
      <w:r w:rsidR="00521943">
        <w:t>n</w:t>
      </w:r>
      <w:r w:rsidR="00AB199C">
        <w:t>able viewer</w:t>
      </w:r>
      <w:r w:rsidR="00521943">
        <w:t xml:space="preserve"> associates with a particular </w:t>
      </w:r>
      <w:r w:rsidR="00591841">
        <w:t>p</w:t>
      </w:r>
      <w:r w:rsidR="00924369">
        <w:t xml:space="preserve">olitical </w:t>
      </w:r>
      <w:r w:rsidR="00521943">
        <w:t>position with respect to</w:t>
      </w:r>
      <w:r w:rsidR="004901AA">
        <w:t xml:space="preserve"> matters</w:t>
      </w:r>
      <w:r w:rsidR="005E656C">
        <w:t xml:space="preserve"> </w:t>
      </w:r>
      <w:r w:rsidR="006D215F">
        <w:t>that are or could be the subject of public political discussion</w:t>
      </w:r>
      <w:r w:rsidR="004901AA">
        <w:t>.</w:t>
      </w:r>
      <w:r w:rsidR="00AB199C">
        <w:t xml:space="preserve"> </w:t>
      </w:r>
    </w:p>
    <w:p w14:paraId="6C015CAA" w14:textId="5A1457A7" w:rsidR="00FF2866" w:rsidRPr="003E3272" w:rsidRDefault="00FF2866" w:rsidP="002D7C25">
      <w:pPr>
        <w:pStyle w:val="Heading3"/>
      </w:pPr>
      <w:bookmarkStart w:id="19" w:name="_Toc10639003"/>
      <w:r w:rsidRPr="003E3272">
        <w:t>The context surrounding the broadcast</w:t>
      </w:r>
      <w:bookmarkEnd w:id="19"/>
      <w:r w:rsidRPr="003E3272">
        <w:t xml:space="preserve"> </w:t>
      </w:r>
    </w:p>
    <w:p w14:paraId="2D607D1D" w14:textId="10219690" w:rsidR="00CC4A0A" w:rsidRDefault="004E26AE" w:rsidP="00CC4A0A">
      <w:r>
        <w:t>I</w:t>
      </w:r>
      <w:r w:rsidR="00CC4A0A" w:rsidRPr="007A0368">
        <w:t>t</w:t>
      </w:r>
      <w:r>
        <w:t xml:space="preserve"> is</w:t>
      </w:r>
      <w:r w:rsidR="00CC4A0A" w:rsidRPr="007A0368">
        <w:t xml:space="preserve"> </w:t>
      </w:r>
      <w:r>
        <w:t xml:space="preserve">not </w:t>
      </w:r>
      <w:r w:rsidR="00CC4A0A" w:rsidRPr="007A0368">
        <w:t xml:space="preserve">necessary that there be a high level of </w:t>
      </w:r>
      <w:r w:rsidR="00CC4A0A">
        <w:t xml:space="preserve">current </w:t>
      </w:r>
      <w:r w:rsidR="00CC4A0A" w:rsidRPr="007A0368">
        <w:t>public discourse at a government level about a matter for it to meet the threshold of political matter.</w:t>
      </w:r>
      <w:r w:rsidR="00116A05">
        <w:t xml:space="preserve"> The content need only engage with a matter of public contention</w:t>
      </w:r>
      <w:r w:rsidR="003C5C29">
        <w:t xml:space="preserve"> or discussion</w:t>
      </w:r>
      <w:r w:rsidR="00116A05">
        <w:t xml:space="preserve"> in a </w:t>
      </w:r>
      <w:r w:rsidR="00870434">
        <w:t xml:space="preserve">meaningful </w:t>
      </w:r>
      <w:r w:rsidR="00116A05">
        <w:t xml:space="preserve">way </w:t>
      </w:r>
      <w:r w:rsidR="00B455FB">
        <w:t xml:space="preserve">that </w:t>
      </w:r>
      <w:r w:rsidR="00870434">
        <w:t xml:space="preserve">objectively </w:t>
      </w:r>
      <w:r w:rsidR="00B455FB">
        <w:t>seeks to influence</w:t>
      </w:r>
      <w:r w:rsidR="000076F4">
        <w:t xml:space="preserve"> the audience’s position with respect to that matter</w:t>
      </w:r>
      <w:r w:rsidR="00CE3F16">
        <w:t>.</w:t>
      </w:r>
    </w:p>
    <w:p w14:paraId="7089A159" w14:textId="6DD281B7" w:rsidR="00975A93" w:rsidRPr="007A0368" w:rsidDel="005F6E58" w:rsidRDefault="003F4FB4" w:rsidP="00CC4A0A">
      <w:r>
        <w:t>Further discussion</w:t>
      </w:r>
      <w:r w:rsidR="00DC2A6B">
        <w:t xml:space="preserve"> on what constitutes political matter can be found in </w:t>
      </w:r>
      <w:hyperlink w:anchor="_Case_study_1" w:history="1">
        <w:r w:rsidR="00D85ACC" w:rsidRPr="00D85ACC">
          <w:rPr>
            <w:rStyle w:val="Hyperlink"/>
          </w:rPr>
          <w:t>c</w:t>
        </w:r>
        <w:r w:rsidR="00975A93" w:rsidRPr="00D85ACC">
          <w:rPr>
            <w:rStyle w:val="Hyperlink"/>
          </w:rPr>
          <w:t>ase study 1</w:t>
        </w:r>
      </w:hyperlink>
      <w:r w:rsidR="008C63FD">
        <w:t xml:space="preserve"> and </w:t>
      </w:r>
      <w:hyperlink w:anchor="_Case_study_3" w:history="1">
        <w:r w:rsidR="00D85ACC" w:rsidRPr="00D85ACC">
          <w:rPr>
            <w:rStyle w:val="Hyperlink"/>
          </w:rPr>
          <w:t>c</w:t>
        </w:r>
        <w:r w:rsidR="008C63FD" w:rsidRPr="00D85ACC">
          <w:rPr>
            <w:rStyle w:val="Hyperlink"/>
          </w:rPr>
          <w:t>ase study 3</w:t>
        </w:r>
      </w:hyperlink>
      <w:r w:rsidR="00D77A1F">
        <w:t>.</w:t>
      </w:r>
    </w:p>
    <w:p w14:paraId="41D3F0B3" w14:textId="77777777" w:rsidR="00465D8F" w:rsidRDefault="00465D8F" w:rsidP="00465D8F">
      <w:pPr>
        <w:pStyle w:val="Heading2"/>
      </w:pPr>
      <w:bookmarkStart w:id="20" w:name="_Toc10639004"/>
      <w:r>
        <w:t xml:space="preserve">What is </w:t>
      </w:r>
      <w:r w:rsidRPr="00F90BF8">
        <w:t>‘at the request of another person’</w:t>
      </w:r>
      <w:r>
        <w:t>?</w:t>
      </w:r>
      <w:bookmarkEnd w:id="20"/>
    </w:p>
    <w:p w14:paraId="7AC5D3DF" w14:textId="0F6F6C39" w:rsidR="00465D8F" w:rsidRPr="00BF1BC5" w:rsidRDefault="00465D8F" w:rsidP="00465D8F">
      <w:r w:rsidRPr="00BF1BC5">
        <w:t xml:space="preserve">Only political matter that is broadcast at the request of another person is subject to the </w:t>
      </w:r>
      <w:r w:rsidR="00E41CF6">
        <w:t xml:space="preserve">requirement </w:t>
      </w:r>
      <w:r w:rsidR="00A023D5">
        <w:t>about broadcasting the required particulars</w:t>
      </w:r>
      <w:r w:rsidRPr="00BF1BC5">
        <w:t xml:space="preserve">. </w:t>
      </w:r>
    </w:p>
    <w:p w14:paraId="7480D2FB" w14:textId="2574F6D7" w:rsidR="009E123D" w:rsidRPr="00BF1BC5" w:rsidRDefault="009E123D" w:rsidP="009E123D">
      <w:r w:rsidRPr="00BF1BC5">
        <w:t xml:space="preserve">A person can include a political party, a corporation and any other association (incorporated or unincorporated). </w:t>
      </w:r>
    </w:p>
    <w:p w14:paraId="125E11D8" w14:textId="6E5CE511" w:rsidR="00465D8F" w:rsidRPr="00BF1BC5" w:rsidRDefault="00D358AD" w:rsidP="00465D8F">
      <w:r>
        <w:t>L</w:t>
      </w:r>
      <w:r w:rsidR="00465D8F" w:rsidRPr="00BF1BC5">
        <w:t xml:space="preserve">icensees </w:t>
      </w:r>
      <w:r>
        <w:t xml:space="preserve">are not prevented from </w:t>
      </w:r>
      <w:r w:rsidR="00465D8F" w:rsidRPr="00BF1BC5">
        <w:t>advocat</w:t>
      </w:r>
      <w:r>
        <w:t>ing</w:t>
      </w:r>
      <w:r w:rsidR="00A023D5">
        <w:t xml:space="preserve"> </w:t>
      </w:r>
      <w:r w:rsidR="00465D8F" w:rsidRPr="00BF1BC5">
        <w:t xml:space="preserve">on social issues </w:t>
      </w:r>
      <w:r>
        <w:t xml:space="preserve">and </w:t>
      </w:r>
      <w:r w:rsidR="0001500D">
        <w:t>from time to time</w:t>
      </w:r>
      <w:r w:rsidR="0001500D" w:rsidRPr="00BF1BC5">
        <w:t xml:space="preserve"> </w:t>
      </w:r>
      <w:r w:rsidR="0001500D">
        <w:t xml:space="preserve">may </w:t>
      </w:r>
      <w:r w:rsidR="00465D8F" w:rsidRPr="00BF1BC5">
        <w:t>support policy initiatives</w:t>
      </w:r>
      <w:r w:rsidR="0001500D">
        <w:t>.</w:t>
      </w:r>
      <w:r w:rsidR="00465D8F" w:rsidRPr="00BF1BC5">
        <w:t xml:space="preserve"> </w:t>
      </w:r>
    </w:p>
    <w:p w14:paraId="3DDF3A73" w14:textId="3FC73F31" w:rsidR="00465D8F" w:rsidRPr="00BF1BC5" w:rsidRDefault="00465D8F" w:rsidP="00465D8F">
      <w:r w:rsidRPr="00BF1BC5">
        <w:t xml:space="preserve">The </w:t>
      </w:r>
      <w:r w:rsidR="001E7EA8">
        <w:t xml:space="preserve">required particulars </w:t>
      </w:r>
      <w:r w:rsidRPr="00BF1BC5">
        <w:t xml:space="preserve">do not </w:t>
      </w:r>
      <w:r w:rsidR="001E7EA8">
        <w:t>need to be broadcast if political</w:t>
      </w:r>
      <w:r w:rsidRPr="00BF1BC5">
        <w:t xml:space="preserve"> matter is broadcast on the </w:t>
      </w:r>
      <w:r w:rsidR="001B0ACF">
        <w:t>licensee</w:t>
      </w:r>
      <w:r w:rsidRPr="00BF1BC5">
        <w:t xml:space="preserve">’s own initiative (see </w:t>
      </w:r>
      <w:hyperlink w:anchor="_Case_study_2" w:history="1">
        <w:r w:rsidR="00D85ACC" w:rsidRPr="00D85ACC">
          <w:rPr>
            <w:rStyle w:val="Hyperlink"/>
          </w:rPr>
          <w:t>c</w:t>
        </w:r>
        <w:r w:rsidRPr="00D85ACC">
          <w:rPr>
            <w:rStyle w:val="Hyperlink"/>
          </w:rPr>
          <w:t>ase study 2</w:t>
        </w:r>
      </w:hyperlink>
      <w:r w:rsidRPr="00BF1BC5">
        <w:t>)</w:t>
      </w:r>
      <w:r w:rsidR="002334BD">
        <w:t>.</w:t>
      </w:r>
    </w:p>
    <w:p w14:paraId="13A2D172" w14:textId="77777777" w:rsidR="00465D8F" w:rsidRDefault="00465D8F" w:rsidP="00465D8F">
      <w:pPr>
        <w:pStyle w:val="Heading2"/>
      </w:pPr>
      <w:bookmarkStart w:id="21" w:name="_Toc10639005"/>
      <w:r>
        <w:t>What are the</w:t>
      </w:r>
      <w:r w:rsidRPr="00CD18E2">
        <w:t xml:space="preserve"> ‘required particulars’</w:t>
      </w:r>
      <w:r>
        <w:t>?</w:t>
      </w:r>
      <w:bookmarkEnd w:id="21"/>
    </w:p>
    <w:p w14:paraId="6849BA29" w14:textId="60CE0319" w:rsidR="00465D8F" w:rsidRDefault="00465D8F" w:rsidP="00465D8F">
      <w:r w:rsidRPr="00BF1BC5">
        <w:t xml:space="preserve">The required particulars are the authorisation details that must be broadcast following political matter. These are also called ‘tags’. </w:t>
      </w:r>
    </w:p>
    <w:p w14:paraId="3FC9EADF" w14:textId="7039875B" w:rsidR="00D55550" w:rsidRDefault="00D55550" w:rsidP="00D55550">
      <w:r>
        <w:t xml:space="preserve">The provision about broadcasting the required </w:t>
      </w:r>
      <w:r w:rsidRPr="0029695B">
        <w:t>particulars</w:t>
      </w:r>
      <w:r>
        <w:t xml:space="preserve"> of the person who </w:t>
      </w:r>
      <w:r w:rsidRPr="009C1D02">
        <w:t>authorised t</w:t>
      </w:r>
      <w:r>
        <w:t>he broadcast</w:t>
      </w:r>
      <w:r w:rsidRPr="0029695B">
        <w:t xml:space="preserve"> applies at all times. It</w:t>
      </w:r>
      <w:r>
        <w:t xml:space="preserve"> is not </w:t>
      </w:r>
      <w:r w:rsidRPr="007A0368">
        <w:t>restricted to material broadcast during election</w:t>
      </w:r>
      <w:r>
        <w:t>s,</w:t>
      </w:r>
      <w:r w:rsidRPr="007A0368">
        <w:t xml:space="preserve"> or </w:t>
      </w:r>
      <w:r w:rsidRPr="009C1D02">
        <w:t>in</w:t>
      </w:r>
      <w:r w:rsidRPr="007A0368">
        <w:t xml:space="preserve"> times of significant public debate on certain issues</w:t>
      </w:r>
      <w:r>
        <w:t>.</w:t>
      </w:r>
      <w:r w:rsidRPr="007A0368">
        <w:t xml:space="preserve"> </w:t>
      </w:r>
      <w:r>
        <w:t>W</w:t>
      </w:r>
      <w:r w:rsidRPr="007A0368">
        <w:t>hen advertisements are broadcast outside an election</w:t>
      </w:r>
      <w:r>
        <w:t xml:space="preserve"> period</w:t>
      </w:r>
      <w:r w:rsidRPr="007A0368">
        <w:t xml:space="preserve"> or are not on behalf of a political party or other </w:t>
      </w:r>
      <w:r>
        <w:t>‘</w:t>
      </w:r>
      <w:r w:rsidRPr="007A0368">
        <w:t>disclosure entity</w:t>
      </w:r>
      <w:r>
        <w:t>’ (defined below)</w:t>
      </w:r>
      <w:r w:rsidRPr="007A0368">
        <w:t>, they may still be political matter and be required to be ‘tagged’</w:t>
      </w:r>
      <w:r>
        <w:t xml:space="preserve"> with the required particulars</w:t>
      </w:r>
      <w:r w:rsidRPr="007A0368">
        <w:t xml:space="preserve">. </w:t>
      </w:r>
    </w:p>
    <w:p w14:paraId="57E8B601" w14:textId="35D854DC" w:rsidR="001E7EA8" w:rsidRDefault="001E7EA8" w:rsidP="001E7EA8">
      <w:pPr>
        <w:rPr>
          <w:rFonts w:cs="Arial"/>
          <w:sz w:val="19"/>
          <w:szCs w:val="19"/>
        </w:rPr>
      </w:pPr>
      <w:r>
        <w:rPr>
          <w:shd w:val="clear" w:color="auto" w:fill="FFFFFF"/>
        </w:rPr>
        <w:t>On both radio and television, the</w:t>
      </w:r>
      <w:r w:rsidRPr="00BF1BC5">
        <w:rPr>
          <w:shd w:val="clear" w:color="auto" w:fill="FFFFFF"/>
        </w:rPr>
        <w:t xml:space="preserve"> required particulars must be announced at the end of the communication in the same language used in the communication</w:t>
      </w:r>
      <w:r>
        <w:rPr>
          <w:shd w:val="clear" w:color="auto" w:fill="FFFFFF"/>
        </w:rPr>
        <w:t xml:space="preserve">. On television </w:t>
      </w:r>
      <w:r>
        <w:rPr>
          <w:shd w:val="clear" w:color="auto" w:fill="FFFFFF"/>
        </w:rPr>
        <w:lastRenderedPageBreak/>
        <w:t>there is an</w:t>
      </w:r>
      <w:r w:rsidRPr="00BF1BC5">
        <w:rPr>
          <w:shd w:val="clear" w:color="auto" w:fill="FFFFFF"/>
        </w:rPr>
        <w:t xml:space="preserve"> additional requirement that the particulars </w:t>
      </w:r>
      <w:r>
        <w:rPr>
          <w:shd w:val="clear" w:color="auto" w:fill="FFFFFF"/>
        </w:rPr>
        <w:t>must</w:t>
      </w:r>
      <w:r w:rsidRPr="00BF1BC5">
        <w:rPr>
          <w:shd w:val="clear" w:color="auto" w:fill="FFFFFF"/>
        </w:rPr>
        <w:t xml:space="preserve"> also</w:t>
      </w:r>
      <w:r>
        <w:rPr>
          <w:shd w:val="clear" w:color="auto" w:fill="FFFFFF"/>
        </w:rPr>
        <w:t xml:space="preserve"> be</w:t>
      </w:r>
      <w:r w:rsidRPr="00BF1BC5">
        <w:rPr>
          <w:shd w:val="clear" w:color="auto" w:fill="FFFFFF"/>
        </w:rPr>
        <w:t xml:space="preserve"> </w:t>
      </w:r>
      <w:r w:rsidR="009669D7">
        <w:rPr>
          <w:shd w:val="clear" w:color="auto" w:fill="FFFFFF"/>
        </w:rPr>
        <w:t xml:space="preserve">shown </w:t>
      </w:r>
      <w:r>
        <w:rPr>
          <w:shd w:val="clear" w:color="auto" w:fill="FFFFFF"/>
        </w:rPr>
        <w:t xml:space="preserve">(see </w:t>
      </w:r>
      <w:r w:rsidRPr="00F43C7A">
        <w:rPr>
          <w:rFonts w:cs="Arial"/>
          <w:sz w:val="19"/>
          <w:szCs w:val="19"/>
        </w:rPr>
        <w:t>Commonwealth Electoral Determination</w:t>
      </w:r>
      <w:r>
        <w:rPr>
          <w:rFonts w:cs="Arial"/>
          <w:sz w:val="19"/>
          <w:szCs w:val="19"/>
        </w:rPr>
        <w:t>)</w:t>
      </w:r>
      <w:r w:rsidR="0054007D">
        <w:rPr>
          <w:rFonts w:cs="Arial"/>
          <w:sz w:val="19"/>
          <w:szCs w:val="19"/>
        </w:rPr>
        <w:t>.</w:t>
      </w:r>
    </w:p>
    <w:p w14:paraId="40CAC97E" w14:textId="56D11E9B" w:rsidR="009A736D" w:rsidRPr="00BF1BC5" w:rsidRDefault="008034E5" w:rsidP="001E7EA8">
      <w:pPr>
        <w:rPr>
          <w:shd w:val="clear" w:color="auto" w:fill="FFFFFF"/>
        </w:rPr>
      </w:pPr>
      <w:r w:rsidRPr="009C1D02">
        <w:rPr>
          <w:shd w:val="clear" w:color="auto" w:fill="FFFFFF"/>
        </w:rPr>
        <w:t>T</w:t>
      </w:r>
      <w:r w:rsidR="005C4058" w:rsidRPr="009C1D02">
        <w:rPr>
          <w:shd w:val="clear" w:color="auto" w:fill="FFFFFF"/>
        </w:rPr>
        <w:t xml:space="preserve">he BSA </w:t>
      </w:r>
      <w:r w:rsidR="00CD1265" w:rsidRPr="009C1D02">
        <w:rPr>
          <w:shd w:val="clear" w:color="auto" w:fill="FFFFFF"/>
        </w:rPr>
        <w:t>defines ‘required particulars’ as the particulars set out in the following table</w:t>
      </w:r>
      <w:r w:rsidR="009C1D02">
        <w:rPr>
          <w:shd w:val="clear" w:color="auto" w:fill="FFFFFF"/>
        </w:rPr>
        <w:t>:</w:t>
      </w:r>
      <w:r w:rsidR="001E7DD9" w:rsidRPr="009C1D02">
        <w:rPr>
          <w:rStyle w:val="FootnoteReference"/>
          <w:shd w:val="clear" w:color="auto" w:fill="FFFFFF"/>
        </w:rPr>
        <w:footnoteReference w:id="2"/>
      </w:r>
    </w:p>
    <w:tbl>
      <w:tblPr>
        <w:tblW w:w="7513" w:type="dxa"/>
        <w:tblBorders>
          <w:top w:val="single" w:sz="4" w:space="0" w:color="auto"/>
          <w:bottom w:val="single" w:sz="4" w:space="0" w:color="auto"/>
          <w:insideH w:val="single" w:sz="4" w:space="0" w:color="auto"/>
        </w:tblBorders>
        <w:tblLayout w:type="fixed"/>
        <w:tblCellMar>
          <w:top w:w="85" w:type="dxa"/>
          <w:bottom w:w="85" w:type="dxa"/>
        </w:tblCellMar>
        <w:tblLook w:val="01E0" w:firstRow="1" w:lastRow="1" w:firstColumn="1" w:lastColumn="1" w:noHBand="0" w:noVBand="0"/>
        <w:tblCaption w:val="Table title to go here"/>
        <w:tblDescription w:val="Table description to go here"/>
      </w:tblPr>
      <w:tblGrid>
        <w:gridCol w:w="3686"/>
        <w:gridCol w:w="3827"/>
      </w:tblGrid>
      <w:tr w:rsidR="00695C97" w:rsidRPr="006D46E5" w14:paraId="4CB85123" w14:textId="77777777" w:rsidTr="00695C97">
        <w:tc>
          <w:tcPr>
            <w:tcW w:w="3686" w:type="dxa"/>
            <w:shd w:val="clear" w:color="auto" w:fill="404040" w:themeFill="text1" w:themeFillTint="BF"/>
          </w:tcPr>
          <w:p w14:paraId="0C629150" w14:textId="2D0C5122" w:rsidR="00695C97" w:rsidRPr="006D46E5" w:rsidRDefault="00695C97" w:rsidP="00B178F6">
            <w:pPr>
              <w:pStyle w:val="TableHeading"/>
              <w:rPr>
                <w:rFonts w:cs="Arial"/>
                <w:color w:val="FFFFFF" w:themeColor="background1"/>
              </w:rPr>
            </w:pPr>
            <w:r>
              <w:rPr>
                <w:rFonts w:cs="Arial"/>
                <w:color w:val="FFFFFF" w:themeColor="background1"/>
              </w:rPr>
              <w:t>Broadcast is authorised by:</w:t>
            </w:r>
          </w:p>
        </w:tc>
        <w:tc>
          <w:tcPr>
            <w:tcW w:w="3827" w:type="dxa"/>
            <w:shd w:val="clear" w:color="auto" w:fill="404040" w:themeFill="text1" w:themeFillTint="BF"/>
          </w:tcPr>
          <w:p w14:paraId="3C6D6B40" w14:textId="299301B6" w:rsidR="00695C97" w:rsidRPr="006D46E5" w:rsidRDefault="00695C97" w:rsidP="00B178F6">
            <w:pPr>
              <w:pStyle w:val="TableHeading"/>
              <w:rPr>
                <w:rFonts w:cs="Arial"/>
                <w:color w:val="FFFFFF" w:themeColor="background1"/>
              </w:rPr>
            </w:pPr>
            <w:r>
              <w:rPr>
                <w:rFonts w:cs="Arial"/>
                <w:color w:val="FFFFFF" w:themeColor="background1"/>
              </w:rPr>
              <w:t>Required particulars:</w:t>
            </w:r>
          </w:p>
        </w:tc>
      </w:tr>
      <w:tr w:rsidR="00695C97" w:rsidRPr="006D46E5" w14:paraId="7E32B9A3" w14:textId="77777777" w:rsidTr="00695C97">
        <w:tc>
          <w:tcPr>
            <w:tcW w:w="3686" w:type="dxa"/>
            <w:tcBorders>
              <w:bottom w:val="single" w:sz="4" w:space="0" w:color="auto"/>
            </w:tcBorders>
          </w:tcPr>
          <w:p w14:paraId="61AF3466" w14:textId="767677AA" w:rsidR="00695C97" w:rsidRPr="006D46E5" w:rsidRDefault="00695C97" w:rsidP="00B178F6">
            <w:pPr>
              <w:pStyle w:val="TableBody"/>
              <w:rPr>
                <w:rFonts w:cs="Arial"/>
              </w:rPr>
            </w:pPr>
            <w:r w:rsidRPr="00137DE1">
              <w:rPr>
                <w:rFonts w:cs="Arial"/>
                <w:sz w:val="18"/>
                <w:szCs w:val="18"/>
              </w:rPr>
              <w:t>a disclosure entity that is not a natural person</w:t>
            </w:r>
          </w:p>
        </w:tc>
        <w:tc>
          <w:tcPr>
            <w:tcW w:w="3827" w:type="dxa"/>
            <w:tcBorders>
              <w:bottom w:val="single" w:sz="4" w:space="0" w:color="auto"/>
            </w:tcBorders>
          </w:tcPr>
          <w:p w14:paraId="3A39D5C9" w14:textId="71F4C8DC" w:rsidR="00695C97" w:rsidRPr="00137DE1" w:rsidRDefault="00695C97" w:rsidP="00695C97">
            <w:pPr>
              <w:spacing w:after="120"/>
              <w:rPr>
                <w:rFonts w:cs="Arial"/>
                <w:sz w:val="18"/>
                <w:szCs w:val="18"/>
              </w:rPr>
            </w:pPr>
            <w:r w:rsidRPr="00137DE1">
              <w:rPr>
                <w:rFonts w:cs="Arial"/>
                <w:sz w:val="18"/>
                <w:szCs w:val="18"/>
              </w:rPr>
              <w:t>(a) the name of the entity (as included in the most recent return given in relation to the entity under Part </w:t>
            </w:r>
            <w:r w:rsidRPr="00A469B4">
              <w:rPr>
                <w:rFonts w:cs="Arial"/>
                <w:sz w:val="18"/>
                <w:szCs w:val="18"/>
              </w:rPr>
              <w:t>XX</w:t>
            </w:r>
            <w:r w:rsidRPr="00137DE1">
              <w:rPr>
                <w:rFonts w:cs="Arial"/>
                <w:sz w:val="18"/>
                <w:szCs w:val="18"/>
              </w:rPr>
              <w:t xml:space="preserve"> of the </w:t>
            </w:r>
            <w:r w:rsidRPr="00137DE1">
              <w:rPr>
                <w:rFonts w:cs="Arial"/>
                <w:i/>
                <w:iCs/>
                <w:sz w:val="18"/>
                <w:szCs w:val="18"/>
              </w:rPr>
              <w:t>Commonwealth Electoral Act 1918</w:t>
            </w:r>
            <w:r w:rsidRPr="00137DE1">
              <w:rPr>
                <w:rFonts w:cs="Arial"/>
                <w:sz w:val="18"/>
                <w:szCs w:val="18"/>
              </w:rPr>
              <w:t>, if a return has been given in relation to the entity under that Part)</w:t>
            </w:r>
          </w:p>
          <w:p w14:paraId="57CB4D6B" w14:textId="56CA8839" w:rsidR="00695C97" w:rsidRPr="00137DE1" w:rsidRDefault="00695C97" w:rsidP="00695C97">
            <w:pPr>
              <w:spacing w:after="120"/>
              <w:rPr>
                <w:rFonts w:cs="Arial"/>
                <w:sz w:val="18"/>
                <w:szCs w:val="18"/>
              </w:rPr>
            </w:pPr>
            <w:r w:rsidRPr="00137DE1">
              <w:rPr>
                <w:rFonts w:cs="Arial"/>
                <w:sz w:val="18"/>
                <w:szCs w:val="18"/>
              </w:rPr>
              <w:t>(b) the relevant town or city of the entity</w:t>
            </w:r>
          </w:p>
          <w:p w14:paraId="197A26E4" w14:textId="0419909B" w:rsidR="00695C97" w:rsidRPr="006D46E5" w:rsidRDefault="00695C97" w:rsidP="00695C97">
            <w:pPr>
              <w:pStyle w:val="TableBody"/>
              <w:rPr>
                <w:rFonts w:cs="Arial"/>
              </w:rPr>
            </w:pPr>
            <w:r w:rsidRPr="00137DE1">
              <w:rPr>
                <w:rFonts w:cs="Arial"/>
                <w:sz w:val="18"/>
                <w:szCs w:val="18"/>
              </w:rPr>
              <w:t>(c) the name of the natural person responsible for giving effect to the authorisation</w:t>
            </w:r>
            <w:r w:rsidR="00A25F37">
              <w:rPr>
                <w:rFonts w:cs="Arial"/>
                <w:sz w:val="18"/>
                <w:szCs w:val="18"/>
              </w:rPr>
              <w:t>.</w:t>
            </w:r>
          </w:p>
        </w:tc>
      </w:tr>
      <w:tr w:rsidR="00540F15" w:rsidRPr="006D46E5" w14:paraId="07A24003" w14:textId="77777777" w:rsidTr="00695C97">
        <w:tc>
          <w:tcPr>
            <w:tcW w:w="3686" w:type="dxa"/>
            <w:shd w:val="clear" w:color="auto" w:fill="F2F2F2" w:themeFill="background1" w:themeFillShade="F2"/>
          </w:tcPr>
          <w:p w14:paraId="6C9963D6" w14:textId="7C82F276" w:rsidR="00540F15" w:rsidRPr="00A662AB" w:rsidRDefault="00540F15" w:rsidP="00B178F6">
            <w:pPr>
              <w:pStyle w:val="TableBody"/>
              <w:rPr>
                <w:rFonts w:cs="Arial"/>
                <w:sz w:val="18"/>
                <w:szCs w:val="18"/>
              </w:rPr>
            </w:pPr>
            <w:r w:rsidRPr="00137DE1">
              <w:rPr>
                <w:rFonts w:cs="Arial"/>
                <w:sz w:val="18"/>
                <w:szCs w:val="18"/>
              </w:rPr>
              <w:t xml:space="preserve">a disclosure entity </w:t>
            </w:r>
            <w:r w:rsidR="00875D00">
              <w:rPr>
                <w:rFonts w:cs="Arial"/>
                <w:sz w:val="18"/>
                <w:szCs w:val="18"/>
              </w:rPr>
              <w:t>that</w:t>
            </w:r>
            <w:r>
              <w:rPr>
                <w:rFonts w:cs="Arial"/>
                <w:sz w:val="18"/>
                <w:szCs w:val="18"/>
              </w:rPr>
              <w:t xml:space="preserve"> is</w:t>
            </w:r>
            <w:r w:rsidRPr="00137DE1">
              <w:rPr>
                <w:rFonts w:cs="Arial"/>
                <w:sz w:val="18"/>
                <w:szCs w:val="18"/>
              </w:rPr>
              <w:t xml:space="preserve"> a natural person</w:t>
            </w:r>
          </w:p>
        </w:tc>
        <w:tc>
          <w:tcPr>
            <w:tcW w:w="3827" w:type="dxa"/>
            <w:shd w:val="clear" w:color="auto" w:fill="F2F2F2" w:themeFill="background1" w:themeFillShade="F2"/>
          </w:tcPr>
          <w:p w14:paraId="4E0DCDD7" w14:textId="32D8C68E" w:rsidR="00540F15" w:rsidRPr="00137DE1" w:rsidRDefault="00540F15" w:rsidP="00540F15">
            <w:pPr>
              <w:spacing w:after="120"/>
              <w:rPr>
                <w:rFonts w:cs="Arial"/>
                <w:sz w:val="18"/>
                <w:szCs w:val="18"/>
              </w:rPr>
            </w:pPr>
            <w:r w:rsidRPr="00137DE1">
              <w:rPr>
                <w:rFonts w:cs="Arial"/>
                <w:sz w:val="18"/>
                <w:szCs w:val="18"/>
              </w:rPr>
              <w:t>(a) the name of the person</w:t>
            </w:r>
          </w:p>
          <w:p w14:paraId="5397F516" w14:textId="63CD4B45" w:rsidR="00540F15" w:rsidRPr="00137DE1" w:rsidRDefault="00540F15" w:rsidP="00540F15">
            <w:pPr>
              <w:spacing w:after="120"/>
              <w:rPr>
                <w:rFonts w:cs="Arial"/>
                <w:sz w:val="18"/>
                <w:szCs w:val="18"/>
              </w:rPr>
            </w:pPr>
            <w:r w:rsidRPr="00137DE1">
              <w:rPr>
                <w:rFonts w:cs="Arial"/>
                <w:sz w:val="18"/>
                <w:szCs w:val="18"/>
              </w:rPr>
              <w:t xml:space="preserve">(b) the town or city </w:t>
            </w:r>
            <w:r>
              <w:rPr>
                <w:rFonts w:cs="Arial"/>
                <w:sz w:val="18"/>
                <w:szCs w:val="18"/>
              </w:rPr>
              <w:t xml:space="preserve">in which the </w:t>
            </w:r>
            <w:r w:rsidRPr="00137DE1">
              <w:rPr>
                <w:rFonts w:cs="Arial"/>
                <w:sz w:val="18"/>
                <w:szCs w:val="18"/>
              </w:rPr>
              <w:t>person lives</w:t>
            </w:r>
            <w:r w:rsidR="00A25F37">
              <w:rPr>
                <w:rFonts w:cs="Arial"/>
                <w:sz w:val="18"/>
                <w:szCs w:val="18"/>
              </w:rPr>
              <w:t>.</w:t>
            </w:r>
          </w:p>
        </w:tc>
      </w:tr>
      <w:tr w:rsidR="00695C97" w:rsidRPr="006D46E5" w14:paraId="279EFBEE" w14:textId="77777777" w:rsidTr="002C59FF">
        <w:tc>
          <w:tcPr>
            <w:tcW w:w="3686" w:type="dxa"/>
            <w:shd w:val="clear" w:color="auto" w:fill="FFFFFF" w:themeFill="background1"/>
          </w:tcPr>
          <w:p w14:paraId="15FB0CA8" w14:textId="005B0426" w:rsidR="00695C97" w:rsidRPr="006D46E5" w:rsidRDefault="00695C97" w:rsidP="00B178F6">
            <w:pPr>
              <w:pStyle w:val="TableBody"/>
              <w:rPr>
                <w:rFonts w:cs="Arial"/>
              </w:rPr>
            </w:pPr>
            <w:r w:rsidRPr="00A662AB">
              <w:rPr>
                <w:rFonts w:cs="Arial"/>
                <w:sz w:val="18"/>
                <w:szCs w:val="18"/>
              </w:rPr>
              <w:t xml:space="preserve">any other entity </w:t>
            </w:r>
            <w:r w:rsidR="00E93867">
              <w:rPr>
                <w:rFonts w:cs="Arial"/>
                <w:sz w:val="18"/>
                <w:szCs w:val="18"/>
              </w:rPr>
              <w:t>(</w:t>
            </w:r>
            <w:r w:rsidR="00875D00">
              <w:rPr>
                <w:rFonts w:cs="Arial"/>
                <w:sz w:val="18"/>
                <w:szCs w:val="18"/>
              </w:rPr>
              <w:t>that</w:t>
            </w:r>
            <w:r w:rsidR="00E93867">
              <w:rPr>
                <w:rFonts w:cs="Arial"/>
                <w:sz w:val="18"/>
                <w:szCs w:val="18"/>
              </w:rPr>
              <w:t xml:space="preserve"> is not a disclosure entity or a natural person)</w:t>
            </w:r>
          </w:p>
        </w:tc>
        <w:tc>
          <w:tcPr>
            <w:tcW w:w="3827" w:type="dxa"/>
            <w:shd w:val="clear" w:color="auto" w:fill="FFFFFF" w:themeFill="background1"/>
          </w:tcPr>
          <w:p w14:paraId="1BF79342" w14:textId="4145F2E1" w:rsidR="00695C97" w:rsidRPr="00137DE1" w:rsidRDefault="00695C97" w:rsidP="00695C97">
            <w:pPr>
              <w:spacing w:after="120"/>
              <w:rPr>
                <w:rFonts w:cs="Arial"/>
                <w:sz w:val="18"/>
                <w:szCs w:val="18"/>
              </w:rPr>
            </w:pPr>
            <w:r w:rsidRPr="00137DE1">
              <w:rPr>
                <w:rFonts w:cs="Arial"/>
                <w:sz w:val="18"/>
                <w:szCs w:val="18"/>
              </w:rPr>
              <w:t xml:space="preserve">(a) the name of the </w:t>
            </w:r>
            <w:r w:rsidR="00B03923">
              <w:rPr>
                <w:rFonts w:cs="Arial"/>
                <w:sz w:val="18"/>
                <w:szCs w:val="18"/>
              </w:rPr>
              <w:t>entity</w:t>
            </w:r>
          </w:p>
          <w:p w14:paraId="5B214D4A" w14:textId="55CD8269" w:rsidR="00695C97" w:rsidRPr="006D46E5" w:rsidRDefault="00695C97" w:rsidP="002334BD">
            <w:pPr>
              <w:pStyle w:val="TableBody"/>
              <w:rPr>
                <w:rFonts w:cs="Arial"/>
              </w:rPr>
            </w:pPr>
            <w:r w:rsidRPr="00137DE1">
              <w:rPr>
                <w:rFonts w:cs="Arial"/>
                <w:sz w:val="18"/>
                <w:szCs w:val="18"/>
              </w:rPr>
              <w:t xml:space="preserve">(b) the </w:t>
            </w:r>
            <w:r w:rsidR="00540F15">
              <w:rPr>
                <w:rFonts w:cs="Arial"/>
                <w:sz w:val="18"/>
                <w:szCs w:val="18"/>
              </w:rPr>
              <w:t xml:space="preserve">relevant </w:t>
            </w:r>
            <w:r w:rsidRPr="00137DE1">
              <w:rPr>
                <w:rFonts w:cs="Arial"/>
                <w:sz w:val="18"/>
                <w:szCs w:val="18"/>
              </w:rPr>
              <w:t xml:space="preserve">town or city </w:t>
            </w:r>
            <w:r w:rsidR="00237C82">
              <w:rPr>
                <w:rFonts w:cs="Arial"/>
                <w:sz w:val="18"/>
                <w:szCs w:val="18"/>
              </w:rPr>
              <w:t>of</w:t>
            </w:r>
            <w:r w:rsidR="007D640C">
              <w:rPr>
                <w:rFonts w:cs="Arial"/>
                <w:sz w:val="18"/>
                <w:szCs w:val="18"/>
              </w:rPr>
              <w:t xml:space="preserve"> the entity</w:t>
            </w:r>
            <w:r w:rsidR="00A25F37">
              <w:rPr>
                <w:rFonts w:cs="Arial"/>
                <w:sz w:val="18"/>
                <w:szCs w:val="18"/>
              </w:rPr>
              <w:t>.</w:t>
            </w:r>
          </w:p>
        </w:tc>
      </w:tr>
      <w:tr w:rsidR="00540F15" w:rsidRPr="006D46E5" w14:paraId="62E544DF" w14:textId="77777777" w:rsidTr="00695C97">
        <w:tc>
          <w:tcPr>
            <w:tcW w:w="3686" w:type="dxa"/>
            <w:shd w:val="clear" w:color="auto" w:fill="F2F2F2" w:themeFill="background1" w:themeFillShade="F2"/>
          </w:tcPr>
          <w:p w14:paraId="215C865D" w14:textId="1CF5E830" w:rsidR="00540F15" w:rsidRPr="00A662AB" w:rsidRDefault="00540F15" w:rsidP="00B178F6">
            <w:pPr>
              <w:pStyle w:val="TableBody"/>
              <w:rPr>
                <w:rFonts w:cs="Arial"/>
                <w:sz w:val="18"/>
                <w:szCs w:val="18"/>
              </w:rPr>
            </w:pPr>
            <w:r w:rsidRPr="00137DE1">
              <w:rPr>
                <w:rFonts w:cs="Arial"/>
                <w:sz w:val="18"/>
                <w:szCs w:val="18"/>
              </w:rPr>
              <w:t>a natural person</w:t>
            </w:r>
            <w:r>
              <w:rPr>
                <w:rFonts w:cs="Arial"/>
                <w:sz w:val="18"/>
                <w:szCs w:val="18"/>
              </w:rPr>
              <w:t xml:space="preserve"> </w:t>
            </w:r>
            <w:r w:rsidR="004D3363">
              <w:rPr>
                <w:rFonts w:cs="Arial"/>
                <w:sz w:val="18"/>
                <w:szCs w:val="18"/>
              </w:rPr>
              <w:t>(</w:t>
            </w:r>
            <w:r>
              <w:rPr>
                <w:rFonts w:cs="Arial"/>
                <w:sz w:val="18"/>
                <w:szCs w:val="18"/>
              </w:rPr>
              <w:t>who is not a disclosure entity</w:t>
            </w:r>
            <w:r w:rsidR="004D3363">
              <w:rPr>
                <w:rFonts w:cs="Arial"/>
                <w:sz w:val="18"/>
                <w:szCs w:val="18"/>
              </w:rPr>
              <w:t>)</w:t>
            </w:r>
          </w:p>
        </w:tc>
        <w:tc>
          <w:tcPr>
            <w:tcW w:w="3827" w:type="dxa"/>
            <w:shd w:val="clear" w:color="auto" w:fill="F2F2F2" w:themeFill="background1" w:themeFillShade="F2"/>
          </w:tcPr>
          <w:p w14:paraId="609D0D0E" w14:textId="33836B8B" w:rsidR="00540F15" w:rsidRPr="00540F15" w:rsidRDefault="00540F15" w:rsidP="00540F15">
            <w:pPr>
              <w:spacing w:after="120"/>
              <w:rPr>
                <w:rFonts w:cs="Arial"/>
                <w:sz w:val="18"/>
                <w:szCs w:val="18"/>
              </w:rPr>
            </w:pPr>
            <w:r w:rsidRPr="00540F15">
              <w:rPr>
                <w:rFonts w:cs="Arial"/>
                <w:sz w:val="18"/>
                <w:szCs w:val="18"/>
              </w:rPr>
              <w:t>(a) the name of the person</w:t>
            </w:r>
          </w:p>
          <w:p w14:paraId="759B53A8" w14:textId="4BC7DD06" w:rsidR="00540F15" w:rsidRPr="00137DE1" w:rsidRDefault="00540F15" w:rsidP="00540F15">
            <w:pPr>
              <w:spacing w:after="120"/>
              <w:rPr>
                <w:rFonts w:cs="Arial"/>
                <w:sz w:val="18"/>
                <w:szCs w:val="18"/>
              </w:rPr>
            </w:pPr>
            <w:r w:rsidRPr="00540F15">
              <w:rPr>
                <w:rFonts w:cs="Arial"/>
                <w:sz w:val="18"/>
                <w:szCs w:val="18"/>
              </w:rPr>
              <w:t>(b) the town or city in which the person lives</w:t>
            </w:r>
            <w:r w:rsidR="00A25F37">
              <w:rPr>
                <w:rFonts w:cs="Arial"/>
                <w:sz w:val="18"/>
                <w:szCs w:val="18"/>
              </w:rPr>
              <w:t xml:space="preserve">. </w:t>
            </w:r>
          </w:p>
        </w:tc>
      </w:tr>
    </w:tbl>
    <w:p w14:paraId="4BBA57CE" w14:textId="77777777" w:rsidR="00465D8F" w:rsidRPr="00BF1BC5" w:rsidRDefault="00465D8F" w:rsidP="009C1D02">
      <w:pPr>
        <w:spacing w:before="240" w:after="80"/>
      </w:pPr>
      <w:r>
        <w:t>T</w:t>
      </w:r>
      <w:r w:rsidRPr="00BF1BC5">
        <w:t>he required particulars refer to specific terms:</w:t>
      </w:r>
    </w:p>
    <w:p w14:paraId="46C747B0" w14:textId="77777777" w:rsidR="00465D8F" w:rsidRPr="00BF1BC5" w:rsidRDefault="00465D8F" w:rsidP="00F4504A">
      <w:pPr>
        <w:pStyle w:val="ListBullet"/>
      </w:pPr>
      <w:r>
        <w:t>d</w:t>
      </w:r>
      <w:r w:rsidRPr="00BF1BC5">
        <w:t>isclosure entity</w:t>
      </w:r>
    </w:p>
    <w:p w14:paraId="1EEB280D" w14:textId="5ADF6C15" w:rsidR="00AF0DEB" w:rsidRDefault="00465D8F" w:rsidP="00F4504A">
      <w:pPr>
        <w:pStyle w:val="ListBullet"/>
      </w:pPr>
      <w:r w:rsidRPr="00BF1BC5">
        <w:t>authorise</w:t>
      </w:r>
      <w:r w:rsidR="0010624F">
        <w:t>s</w:t>
      </w:r>
    </w:p>
    <w:p w14:paraId="6615FA36" w14:textId="5DBD81CF" w:rsidR="00465D8F" w:rsidRDefault="00AF0DEB" w:rsidP="00F4504A">
      <w:pPr>
        <w:pStyle w:val="ListBullet"/>
      </w:pPr>
      <w:r>
        <w:t>relevant town or city</w:t>
      </w:r>
      <w:r w:rsidR="00C846D7">
        <w:t>.</w:t>
      </w:r>
    </w:p>
    <w:p w14:paraId="4A29DBCF" w14:textId="5C3BEE77" w:rsidR="004367F6" w:rsidRPr="00BF1BC5" w:rsidRDefault="004367F6" w:rsidP="004367F6">
      <w:pPr>
        <w:pStyle w:val="ListBullet"/>
        <w:numPr>
          <w:ilvl w:val="0"/>
          <w:numId w:val="0"/>
        </w:numPr>
      </w:pPr>
      <w:r>
        <w:t>These terms are each discussed below.</w:t>
      </w:r>
    </w:p>
    <w:p w14:paraId="742CCA32" w14:textId="77777777" w:rsidR="00465D8F" w:rsidRPr="005C6BBC" w:rsidRDefault="00465D8F" w:rsidP="00465D8F">
      <w:pPr>
        <w:pStyle w:val="Heading2"/>
      </w:pPr>
      <w:bookmarkStart w:id="22" w:name="_Toc10639006"/>
      <w:r w:rsidRPr="005C6BBC">
        <w:t xml:space="preserve">What </w:t>
      </w:r>
      <w:r>
        <w:t>is a</w:t>
      </w:r>
      <w:r w:rsidRPr="005C6BBC">
        <w:t xml:space="preserve"> </w:t>
      </w:r>
      <w:r>
        <w:t>‘</w:t>
      </w:r>
      <w:r w:rsidRPr="005C6BBC">
        <w:t>disclosure entit</w:t>
      </w:r>
      <w:r>
        <w:t>y’</w:t>
      </w:r>
      <w:r w:rsidRPr="005C6BBC">
        <w:t>?</w:t>
      </w:r>
      <w:bookmarkEnd w:id="22"/>
    </w:p>
    <w:p w14:paraId="070CC30C" w14:textId="3A429E9F" w:rsidR="009A74CC" w:rsidRPr="009C1D02" w:rsidRDefault="009A74CC" w:rsidP="00A56A02">
      <w:pPr>
        <w:spacing w:after="80"/>
        <w:rPr>
          <w:rFonts w:cs="Arial"/>
          <w:szCs w:val="20"/>
          <w:shd w:val="clear" w:color="auto" w:fill="FFFFFF"/>
        </w:rPr>
      </w:pPr>
      <w:r w:rsidRPr="009C1D02">
        <w:rPr>
          <w:rFonts w:cs="Arial"/>
          <w:szCs w:val="20"/>
          <w:shd w:val="clear" w:color="auto" w:fill="FFFFFF"/>
        </w:rPr>
        <w:t>A ‘disclosure entity’ is defined in the BSA with reference to</w:t>
      </w:r>
      <w:r w:rsidR="00D52961" w:rsidRPr="009C1D02">
        <w:rPr>
          <w:rFonts w:cs="Arial"/>
          <w:szCs w:val="20"/>
          <w:shd w:val="clear" w:color="auto" w:fill="FFFFFF"/>
        </w:rPr>
        <w:t xml:space="preserve"> </w:t>
      </w:r>
      <w:r w:rsidR="00D52961" w:rsidRPr="009C1D02">
        <w:rPr>
          <w:shd w:val="clear" w:color="auto" w:fill="FFFFFF"/>
        </w:rPr>
        <w:t xml:space="preserve">section 321B of </w:t>
      </w:r>
      <w:r w:rsidRPr="009C1D02">
        <w:rPr>
          <w:rFonts w:cs="Arial"/>
          <w:szCs w:val="20"/>
          <w:shd w:val="clear" w:color="auto" w:fill="FFFFFF"/>
        </w:rPr>
        <w:t xml:space="preserve">the </w:t>
      </w:r>
      <w:r w:rsidRPr="009C1D02">
        <w:rPr>
          <w:rFonts w:cs="Arial"/>
          <w:i/>
          <w:iCs/>
          <w:szCs w:val="20"/>
          <w:shd w:val="clear" w:color="auto" w:fill="FFFFFF"/>
        </w:rPr>
        <w:t>Commonwealth Electoral Act 1918</w:t>
      </w:r>
      <w:r w:rsidRPr="009C1D02">
        <w:rPr>
          <w:rFonts w:cs="Arial"/>
          <w:szCs w:val="20"/>
          <w:shd w:val="clear" w:color="auto" w:fill="FFFFFF"/>
        </w:rPr>
        <w:t xml:space="preserve"> and </w:t>
      </w:r>
      <w:r w:rsidR="00D52961" w:rsidRPr="009C1D02">
        <w:rPr>
          <w:shd w:val="clear" w:color="auto" w:fill="FFFFFF"/>
        </w:rPr>
        <w:t xml:space="preserve">section 110 of </w:t>
      </w:r>
      <w:r w:rsidRPr="009C1D02">
        <w:rPr>
          <w:rFonts w:cs="Arial"/>
          <w:szCs w:val="20"/>
          <w:shd w:val="clear" w:color="auto" w:fill="FFFFFF"/>
        </w:rPr>
        <w:t xml:space="preserve">the </w:t>
      </w:r>
      <w:r w:rsidRPr="009C1D02">
        <w:rPr>
          <w:rFonts w:cs="Arial"/>
          <w:i/>
          <w:iCs/>
          <w:szCs w:val="20"/>
          <w:shd w:val="clear" w:color="auto" w:fill="FFFFFF"/>
        </w:rPr>
        <w:t>Referendum (Machinery Provisions) Act 1984</w:t>
      </w:r>
      <w:r w:rsidRPr="009C1D02">
        <w:rPr>
          <w:rFonts w:cs="Arial"/>
          <w:szCs w:val="20"/>
          <w:shd w:val="clear" w:color="auto" w:fill="FFFFFF"/>
        </w:rPr>
        <w:t xml:space="preserve"> and includes: </w:t>
      </w:r>
    </w:p>
    <w:p w14:paraId="0AA5A621" w14:textId="66CED69F" w:rsidR="009A74CC" w:rsidRPr="009C1D02" w:rsidRDefault="009A74CC" w:rsidP="00A56A02">
      <w:pPr>
        <w:pStyle w:val="ListBullet"/>
        <w:rPr>
          <w:shd w:val="clear" w:color="auto" w:fill="FFFFFF"/>
        </w:rPr>
      </w:pPr>
      <w:r w:rsidRPr="009C1D02">
        <w:rPr>
          <w:shd w:val="clear" w:color="auto" w:fill="FFFFFF"/>
        </w:rPr>
        <w:t xml:space="preserve">a registered political party (as registered under the </w:t>
      </w:r>
      <w:r w:rsidRPr="009C1D02">
        <w:rPr>
          <w:i/>
          <w:iCs/>
          <w:shd w:val="clear" w:color="auto" w:fill="FFFFFF"/>
        </w:rPr>
        <w:t>Commonwealth Electoral Act 1918</w:t>
      </w:r>
      <w:r w:rsidRPr="009C1D02">
        <w:rPr>
          <w:iCs/>
          <w:shd w:val="clear" w:color="auto" w:fill="FFFFFF"/>
        </w:rPr>
        <w:t>)</w:t>
      </w:r>
    </w:p>
    <w:p w14:paraId="280C8F1E" w14:textId="188DC818" w:rsidR="0049102B" w:rsidRPr="009C1D02" w:rsidRDefault="0049102B" w:rsidP="00A56A02">
      <w:pPr>
        <w:pStyle w:val="ListBullet"/>
        <w:rPr>
          <w:i/>
          <w:shd w:val="clear" w:color="auto" w:fill="FFFFFF"/>
        </w:rPr>
      </w:pPr>
      <w:r w:rsidRPr="009C1D02">
        <w:rPr>
          <w:shd w:val="clear" w:color="auto" w:fill="FFFFFF"/>
        </w:rPr>
        <w:t>a political campaigner, which is a person or entity that is registered under section 287L of the</w:t>
      </w:r>
      <w:r w:rsidRPr="009C1D02">
        <w:rPr>
          <w:i/>
          <w:shd w:val="clear" w:color="auto" w:fill="FFFFFF"/>
        </w:rPr>
        <w:t xml:space="preserve"> Commonwealth Electoral Act 1918</w:t>
      </w:r>
    </w:p>
    <w:p w14:paraId="124202BC" w14:textId="56B0156C" w:rsidR="0049102B" w:rsidRPr="009C1D02" w:rsidRDefault="0049102B" w:rsidP="00A56A02">
      <w:pPr>
        <w:pStyle w:val="ListBullet"/>
        <w:rPr>
          <w:i/>
          <w:shd w:val="clear" w:color="auto" w:fill="FFFFFF"/>
        </w:rPr>
      </w:pPr>
      <w:r w:rsidRPr="009C1D02">
        <w:rPr>
          <w:shd w:val="clear" w:color="auto" w:fill="FFFFFF"/>
        </w:rPr>
        <w:t>a third party, which is a person or entity that incurs electoral expenditure during the financial year that is more than the indexed disclosure threshold</w:t>
      </w:r>
      <w:r w:rsidR="00F4447A" w:rsidRPr="009C1D02">
        <w:rPr>
          <w:rStyle w:val="FootnoteReference"/>
          <w:rFonts w:cs="Arial"/>
          <w:szCs w:val="20"/>
        </w:rPr>
        <w:footnoteReference w:id="3"/>
      </w:r>
      <w:r w:rsidR="00F4447A" w:rsidRPr="009C1D02">
        <w:t xml:space="preserve"> </w:t>
      </w:r>
    </w:p>
    <w:p w14:paraId="0FE2FFD5" w14:textId="5BC076AC" w:rsidR="009A74CC" w:rsidRPr="009C1D02" w:rsidRDefault="009A74CC" w:rsidP="00A56A02">
      <w:pPr>
        <w:pStyle w:val="ListBullet"/>
        <w:rPr>
          <w:shd w:val="clear" w:color="auto" w:fill="FFFFFF"/>
        </w:rPr>
      </w:pPr>
      <w:r w:rsidRPr="009C1D02">
        <w:rPr>
          <w:shd w:val="clear" w:color="auto" w:fill="FFFFFF"/>
        </w:rPr>
        <w:lastRenderedPageBreak/>
        <w:t>an associated entit</w:t>
      </w:r>
      <w:r w:rsidR="00066C08" w:rsidRPr="009C1D02">
        <w:rPr>
          <w:shd w:val="clear" w:color="auto" w:fill="FFFFFF"/>
        </w:rPr>
        <w:t>y (</w:t>
      </w:r>
      <w:r w:rsidRPr="009C1D02">
        <w:rPr>
          <w:shd w:val="clear" w:color="auto" w:fill="FFFFFF"/>
        </w:rPr>
        <w:t>which is defined in section 287</w:t>
      </w:r>
      <w:r w:rsidR="002F49C1">
        <w:rPr>
          <w:shd w:val="clear" w:color="auto" w:fill="FFFFFF"/>
        </w:rPr>
        <w:t>H</w:t>
      </w:r>
      <w:r w:rsidRPr="009C1D02">
        <w:rPr>
          <w:shd w:val="clear" w:color="auto" w:fill="FFFFFF"/>
        </w:rPr>
        <w:t xml:space="preserve"> of the </w:t>
      </w:r>
      <w:r w:rsidRPr="009C1D02">
        <w:rPr>
          <w:i/>
          <w:iCs/>
          <w:shd w:val="clear" w:color="auto" w:fill="FFFFFF"/>
        </w:rPr>
        <w:t>Commonwealth Electoral Act 1918</w:t>
      </w:r>
      <w:r w:rsidR="008034DC" w:rsidRPr="009C1D02">
        <w:rPr>
          <w:iCs/>
          <w:shd w:val="clear" w:color="auto" w:fill="FFFFFF"/>
        </w:rPr>
        <w:t>)</w:t>
      </w:r>
      <w:r w:rsidRPr="009C1D02">
        <w:rPr>
          <w:shd w:val="clear" w:color="auto" w:fill="FFFFFF"/>
        </w:rPr>
        <w:t xml:space="preserve"> as an entity that is </w:t>
      </w:r>
      <w:r w:rsidR="001042ED" w:rsidRPr="009C1D02">
        <w:rPr>
          <w:shd w:val="clear" w:color="auto" w:fill="FFFFFF"/>
        </w:rPr>
        <w:t xml:space="preserve">registered as an associated entity under section 287L of that </w:t>
      </w:r>
      <w:r w:rsidR="002F49C1">
        <w:rPr>
          <w:shd w:val="clear" w:color="auto" w:fill="FFFFFF"/>
        </w:rPr>
        <w:t>A</w:t>
      </w:r>
      <w:r w:rsidR="001042ED" w:rsidRPr="009C1D02">
        <w:rPr>
          <w:shd w:val="clear" w:color="auto" w:fill="FFFFFF"/>
        </w:rPr>
        <w:t>ct</w:t>
      </w:r>
      <w:r w:rsidR="00405EB0" w:rsidRPr="009C1D02">
        <w:rPr>
          <w:shd w:val="clear" w:color="auto" w:fill="FFFFFF"/>
        </w:rPr>
        <w:t xml:space="preserve"> </w:t>
      </w:r>
      <w:r w:rsidR="00EB5414" w:rsidRPr="009C1D02">
        <w:rPr>
          <w:shd w:val="clear" w:color="auto" w:fill="FFFFFF"/>
        </w:rPr>
        <w:t xml:space="preserve">and includes entities that are </w:t>
      </w:r>
      <w:r w:rsidRPr="009C1D02">
        <w:rPr>
          <w:shd w:val="clear" w:color="auto" w:fill="FFFFFF"/>
        </w:rPr>
        <w:t xml:space="preserve">controlled by one or more registered political parties operationally, financially or through voting rights. Examples of associated entities include </w:t>
      </w:r>
      <w:r w:rsidR="00EF6865">
        <w:rPr>
          <w:shd w:val="clear" w:color="auto" w:fill="FFFFFF"/>
        </w:rPr>
        <w:t>‘</w:t>
      </w:r>
      <w:r w:rsidRPr="009C1D02">
        <w:rPr>
          <w:shd w:val="clear" w:color="auto" w:fill="FFFFFF"/>
        </w:rPr>
        <w:t>think tanks</w:t>
      </w:r>
      <w:r w:rsidR="00EF6865">
        <w:rPr>
          <w:shd w:val="clear" w:color="auto" w:fill="FFFFFF"/>
        </w:rPr>
        <w:t>’</w:t>
      </w:r>
      <w:r w:rsidRPr="009C1D02">
        <w:rPr>
          <w:shd w:val="clear" w:color="auto" w:fill="FFFFFF"/>
        </w:rPr>
        <w:t xml:space="preserve">, registered clubs, service companies, trade unions and corporate party members </w:t>
      </w:r>
    </w:p>
    <w:p w14:paraId="127D3891" w14:textId="77777777" w:rsidR="009A74CC" w:rsidRPr="009C1D02" w:rsidRDefault="009A74CC" w:rsidP="009C1D02">
      <w:pPr>
        <w:pStyle w:val="ListParagraph"/>
        <w:numPr>
          <w:ilvl w:val="0"/>
          <w:numId w:val="19"/>
        </w:numPr>
        <w:spacing w:after="80" w:line="240" w:lineRule="atLeast"/>
        <w:ind w:left="295" w:hanging="295"/>
        <w:contextualSpacing w:val="0"/>
        <w:rPr>
          <w:rFonts w:ascii="Arial" w:eastAsia="Times New Roman" w:hAnsi="Arial" w:cs="Arial"/>
          <w:sz w:val="20"/>
          <w:szCs w:val="20"/>
          <w:shd w:val="clear" w:color="auto" w:fill="FFFFFF"/>
        </w:rPr>
      </w:pPr>
      <w:r w:rsidRPr="009C1D02">
        <w:rPr>
          <w:rFonts w:ascii="Arial" w:eastAsia="Times New Roman" w:hAnsi="Arial" w:cs="Arial"/>
          <w:sz w:val="20"/>
          <w:szCs w:val="20"/>
          <w:shd w:val="clear" w:color="auto" w:fill="FFFFFF"/>
        </w:rPr>
        <w:t xml:space="preserve">current members of the Parliament of the Commonwealth </w:t>
      </w:r>
    </w:p>
    <w:p w14:paraId="423A45FE" w14:textId="359DF07C" w:rsidR="00653348" w:rsidRPr="009C1D02" w:rsidRDefault="009A74CC" w:rsidP="009C1D02">
      <w:pPr>
        <w:pStyle w:val="ListParagraph"/>
        <w:numPr>
          <w:ilvl w:val="0"/>
          <w:numId w:val="19"/>
        </w:numPr>
        <w:spacing w:after="80" w:line="240" w:lineRule="atLeast"/>
        <w:ind w:left="295" w:hanging="295"/>
        <w:contextualSpacing w:val="0"/>
        <w:rPr>
          <w:rFonts w:ascii="Arial" w:eastAsia="Times New Roman" w:hAnsi="Arial" w:cs="Arial"/>
          <w:sz w:val="20"/>
          <w:szCs w:val="20"/>
          <w:shd w:val="clear" w:color="auto" w:fill="FFFFFF"/>
        </w:rPr>
      </w:pPr>
      <w:r w:rsidRPr="009C1D02">
        <w:rPr>
          <w:rFonts w:ascii="Arial" w:eastAsia="Times New Roman" w:hAnsi="Arial" w:cs="Arial"/>
          <w:sz w:val="20"/>
          <w:szCs w:val="20"/>
          <w:shd w:val="clear" w:color="auto" w:fill="FFFFFF"/>
        </w:rPr>
        <w:t xml:space="preserve">candidates for an election to the Parliament of the Commonwealth </w:t>
      </w:r>
    </w:p>
    <w:p w14:paraId="68EFD044" w14:textId="2D141CC7" w:rsidR="009A74CC" w:rsidRPr="009C1D02" w:rsidRDefault="009A74CC" w:rsidP="009C1D02">
      <w:pPr>
        <w:pStyle w:val="ListParagraph"/>
        <w:numPr>
          <w:ilvl w:val="0"/>
          <w:numId w:val="19"/>
        </w:numPr>
        <w:spacing w:after="80" w:line="240" w:lineRule="atLeast"/>
        <w:ind w:left="295" w:hanging="295"/>
        <w:contextualSpacing w:val="0"/>
        <w:rPr>
          <w:rFonts w:ascii="Arial" w:eastAsia="Times New Roman" w:hAnsi="Arial" w:cs="Arial"/>
          <w:sz w:val="20"/>
          <w:szCs w:val="20"/>
          <w:shd w:val="clear" w:color="auto" w:fill="FFFFFF"/>
        </w:rPr>
      </w:pPr>
      <w:r w:rsidRPr="009C1D02">
        <w:rPr>
          <w:rFonts w:ascii="Arial" w:eastAsia="Times New Roman" w:hAnsi="Arial" w:cs="Arial"/>
          <w:sz w:val="20"/>
          <w:szCs w:val="20"/>
          <w:shd w:val="clear" w:color="auto" w:fill="FFFFFF"/>
        </w:rPr>
        <w:t>other</w:t>
      </w:r>
      <w:r w:rsidR="00653348" w:rsidRPr="009C1D02">
        <w:rPr>
          <w:rFonts w:ascii="Arial" w:eastAsia="Times New Roman" w:hAnsi="Arial" w:cs="Arial"/>
          <w:sz w:val="20"/>
          <w:szCs w:val="20"/>
          <w:shd w:val="clear" w:color="auto" w:fill="FFFFFF"/>
        </w:rPr>
        <w:t xml:space="preserve"> person</w:t>
      </w:r>
      <w:r w:rsidRPr="009C1D02">
        <w:rPr>
          <w:rFonts w:ascii="Arial" w:eastAsia="Times New Roman" w:hAnsi="Arial" w:cs="Arial"/>
          <w:sz w:val="20"/>
          <w:szCs w:val="20"/>
          <w:shd w:val="clear" w:color="auto" w:fill="FFFFFF"/>
        </w:rPr>
        <w:t xml:space="preserve">s </w:t>
      </w:r>
      <w:r w:rsidR="00653348" w:rsidRPr="009C1D02">
        <w:rPr>
          <w:rFonts w:ascii="Arial" w:eastAsia="Times New Roman" w:hAnsi="Arial" w:cs="Arial"/>
          <w:sz w:val="20"/>
          <w:szCs w:val="20"/>
          <w:shd w:val="clear" w:color="auto" w:fill="FFFFFF"/>
        </w:rPr>
        <w:t xml:space="preserve">and entities </w:t>
      </w:r>
      <w:r w:rsidRPr="009C1D02">
        <w:rPr>
          <w:rFonts w:ascii="Arial" w:eastAsia="Times New Roman" w:hAnsi="Arial" w:cs="Arial"/>
          <w:sz w:val="20"/>
          <w:szCs w:val="20"/>
          <w:shd w:val="clear" w:color="auto" w:fill="FFFFFF"/>
        </w:rPr>
        <w:t>who have to lodge returns with the AEC in relation to gifts</w:t>
      </w:r>
      <w:r w:rsidR="00424AA2" w:rsidRPr="009C1D02">
        <w:rPr>
          <w:rFonts w:ascii="Arial" w:eastAsia="Times New Roman" w:hAnsi="Arial" w:cs="Arial"/>
          <w:sz w:val="20"/>
          <w:szCs w:val="20"/>
        </w:rPr>
        <w:t>.</w:t>
      </w:r>
      <w:r w:rsidR="00F71D58" w:rsidRPr="009C1D02">
        <w:rPr>
          <w:rStyle w:val="FootnoteReference"/>
          <w:rFonts w:eastAsia="Times New Roman" w:cs="Arial"/>
          <w:sz w:val="20"/>
          <w:szCs w:val="20"/>
        </w:rPr>
        <w:footnoteReference w:id="4"/>
      </w:r>
      <w:r w:rsidRPr="009C1D02">
        <w:rPr>
          <w:rFonts w:ascii="Arial" w:eastAsia="Times New Roman" w:hAnsi="Arial" w:cs="Arial"/>
          <w:sz w:val="20"/>
          <w:szCs w:val="20"/>
        </w:rPr>
        <w:t xml:space="preserve"> </w:t>
      </w:r>
    </w:p>
    <w:p w14:paraId="68B9C31B" w14:textId="620868AE" w:rsidR="006B2B53" w:rsidRDefault="003C789E" w:rsidP="009C1D02">
      <w:pPr>
        <w:spacing w:before="240"/>
      </w:pPr>
      <w:r w:rsidRPr="007A0368">
        <w:t>Annual financial disclosure returns</w:t>
      </w:r>
      <w:r w:rsidRPr="00F35B49">
        <w:t>—</w:t>
      </w:r>
      <w:r w:rsidRPr="007A0368">
        <w:t>available for public inspection</w:t>
      </w:r>
      <w:r>
        <w:t>—</w:t>
      </w:r>
      <w:r w:rsidRPr="007A0368">
        <w:t xml:space="preserve">can be accessed </w:t>
      </w:r>
      <w:r w:rsidR="00EF6865">
        <w:t xml:space="preserve">on the </w:t>
      </w:r>
      <w:hyperlink r:id="rId34" w:history="1">
        <w:r w:rsidR="00EF6865" w:rsidRPr="00EF6865">
          <w:rPr>
            <w:rStyle w:val="Hyperlink"/>
          </w:rPr>
          <w:t>AEC website</w:t>
        </w:r>
      </w:hyperlink>
      <w:r w:rsidRPr="007A0368">
        <w:t>.</w:t>
      </w:r>
    </w:p>
    <w:p w14:paraId="5203A735" w14:textId="291F7ECF" w:rsidR="00465D8F" w:rsidRDefault="00465D8F" w:rsidP="00465D8F">
      <w:pPr>
        <w:pStyle w:val="Heading2"/>
      </w:pPr>
      <w:bookmarkStart w:id="23" w:name="_Toc10639007"/>
      <w:r>
        <w:t xml:space="preserve">Who </w:t>
      </w:r>
      <w:r w:rsidRPr="00F90BF8">
        <w:t>‘a</w:t>
      </w:r>
      <w:r>
        <w:t>uthorises</w:t>
      </w:r>
      <w:r w:rsidRPr="00F90BF8">
        <w:t>’</w:t>
      </w:r>
      <w:r>
        <w:t xml:space="preserve"> the broadcast of political matter?</w:t>
      </w:r>
      <w:bookmarkEnd w:id="23"/>
    </w:p>
    <w:p w14:paraId="71328B5F" w14:textId="2466892C" w:rsidR="00465D8F" w:rsidRPr="007A0368" w:rsidRDefault="00465D8F" w:rsidP="00465D8F">
      <w:r w:rsidRPr="007A0368">
        <w:t>A person authorises the broadcasting of political matter only if the person is responsible for approval of the content and the decision to present it for broadcasting</w:t>
      </w:r>
      <w:r w:rsidR="009D3C69">
        <w:t xml:space="preserve"> (s</w:t>
      </w:r>
      <w:r w:rsidR="009D3C69" w:rsidRPr="007A0368">
        <w:t>ubclause 4(</w:t>
      </w:r>
      <w:r w:rsidR="0040158F">
        <w:t>4</w:t>
      </w:r>
      <w:r w:rsidR="009D3C69" w:rsidRPr="007A0368">
        <w:t>)</w:t>
      </w:r>
      <w:r w:rsidR="0040158F">
        <w:t xml:space="preserve"> of Schedule 2 to the BSA)</w:t>
      </w:r>
      <w:r w:rsidRPr="007A0368">
        <w:t>.</w:t>
      </w:r>
    </w:p>
    <w:p w14:paraId="66CF5D83" w14:textId="64528681" w:rsidR="00AF0DEB" w:rsidRDefault="00AF0DEB" w:rsidP="00465D8F">
      <w:pPr>
        <w:pStyle w:val="Heading2"/>
      </w:pPr>
      <w:bookmarkStart w:id="24" w:name="_Toc10639008"/>
      <w:r>
        <w:t>What is the ‘relevant town or city’?</w:t>
      </w:r>
      <w:bookmarkEnd w:id="24"/>
    </w:p>
    <w:p w14:paraId="687AFB62" w14:textId="77777777" w:rsidR="00CA73C6" w:rsidRPr="004D0420" w:rsidRDefault="00AF0DEB" w:rsidP="00A56A02">
      <w:pPr>
        <w:spacing w:after="80"/>
        <w:rPr>
          <w:rFonts w:cs="Arial"/>
          <w:szCs w:val="20"/>
        </w:rPr>
      </w:pPr>
      <w:r>
        <w:t xml:space="preserve">The </w:t>
      </w:r>
      <w:r w:rsidR="00455593">
        <w:t>‘</w:t>
      </w:r>
      <w:r w:rsidR="00984C9A">
        <w:t>relevant town or city</w:t>
      </w:r>
      <w:r w:rsidR="00455593">
        <w:t>’</w:t>
      </w:r>
      <w:r w:rsidR="00984C9A">
        <w:t xml:space="preserve"> of an entity</w:t>
      </w:r>
      <w:r w:rsidR="004A2AFC">
        <w:t xml:space="preserve"> </w:t>
      </w:r>
      <w:r w:rsidR="005A0227">
        <w:t>that authorised the broadcast of political matter</w:t>
      </w:r>
      <w:r w:rsidR="00984C9A">
        <w:t xml:space="preserve"> is</w:t>
      </w:r>
      <w:r w:rsidR="00CA73C6">
        <w:t>:</w:t>
      </w:r>
    </w:p>
    <w:p w14:paraId="2D17D779" w14:textId="071B4A5F" w:rsidR="00DF788C" w:rsidRPr="009C1D02" w:rsidRDefault="00CA73C6" w:rsidP="00A56A02">
      <w:pPr>
        <w:pStyle w:val="ListBullet"/>
        <w:rPr>
          <w:shd w:val="clear" w:color="auto" w:fill="FFFFFF"/>
        </w:rPr>
      </w:pPr>
      <w:r w:rsidRPr="009C1D02">
        <w:rPr>
          <w:shd w:val="clear" w:color="auto" w:fill="FFFFFF"/>
        </w:rPr>
        <w:t xml:space="preserve">if the </w:t>
      </w:r>
      <w:r w:rsidR="00DF788C" w:rsidRPr="00A56A02">
        <w:t>entity</w:t>
      </w:r>
      <w:r w:rsidR="00DF788C" w:rsidRPr="009C1D02">
        <w:rPr>
          <w:shd w:val="clear" w:color="auto" w:fill="FFFFFF"/>
        </w:rPr>
        <w:t xml:space="preserve"> has a principal office or premises</w:t>
      </w:r>
      <w:r w:rsidR="00C739D8">
        <w:rPr>
          <w:shd w:val="clear" w:color="auto" w:fill="FFFFFF"/>
        </w:rPr>
        <w:t>,</w:t>
      </w:r>
      <w:r w:rsidR="00984C9A" w:rsidRPr="009C1D02">
        <w:rPr>
          <w:shd w:val="clear" w:color="auto" w:fill="FFFFFF"/>
        </w:rPr>
        <w:t xml:space="preserve"> th</w:t>
      </w:r>
      <w:r w:rsidR="00F06912" w:rsidRPr="009C1D02">
        <w:rPr>
          <w:shd w:val="clear" w:color="auto" w:fill="FFFFFF"/>
        </w:rPr>
        <w:t>e</w:t>
      </w:r>
      <w:r w:rsidR="00984C9A" w:rsidRPr="009C1D02">
        <w:rPr>
          <w:shd w:val="clear" w:color="auto" w:fill="FFFFFF"/>
        </w:rPr>
        <w:t xml:space="preserve"> </w:t>
      </w:r>
      <w:r w:rsidR="00F06912" w:rsidRPr="009C1D02">
        <w:rPr>
          <w:shd w:val="clear" w:color="auto" w:fill="FFFFFF"/>
        </w:rPr>
        <w:t>town or city</w:t>
      </w:r>
      <w:r w:rsidR="00984C9A" w:rsidRPr="009C1D02">
        <w:rPr>
          <w:shd w:val="clear" w:color="auto" w:fill="FFFFFF"/>
        </w:rPr>
        <w:t xml:space="preserve"> where </w:t>
      </w:r>
      <w:r w:rsidR="0096148B" w:rsidRPr="009C1D02">
        <w:rPr>
          <w:shd w:val="clear" w:color="auto" w:fill="FFFFFF"/>
        </w:rPr>
        <w:t>it</w:t>
      </w:r>
      <w:r w:rsidR="00984C9A" w:rsidRPr="009C1D02">
        <w:rPr>
          <w:shd w:val="clear" w:color="auto" w:fill="FFFFFF"/>
        </w:rPr>
        <w:t xml:space="preserve"> has its principal office or premises</w:t>
      </w:r>
      <w:r w:rsidR="00DF788C" w:rsidRPr="009C1D02">
        <w:rPr>
          <w:shd w:val="clear" w:color="auto" w:fill="FFFFFF"/>
        </w:rPr>
        <w:t xml:space="preserve"> </w:t>
      </w:r>
    </w:p>
    <w:p w14:paraId="331A3D2E" w14:textId="3D00C04E" w:rsidR="004A2AFC" w:rsidRPr="009C1D02" w:rsidRDefault="00DF788C" w:rsidP="00A56A02">
      <w:pPr>
        <w:pStyle w:val="ListBullet"/>
        <w:rPr>
          <w:shd w:val="clear" w:color="auto" w:fill="FFFFFF"/>
        </w:rPr>
      </w:pPr>
      <w:r w:rsidRPr="009C1D02">
        <w:rPr>
          <w:shd w:val="clear" w:color="auto" w:fill="FFFFFF"/>
        </w:rPr>
        <w:t>the town or city in which the natural person who was responsible for giving effect to the authorisation lives</w:t>
      </w:r>
      <w:r w:rsidR="00425462" w:rsidRPr="009C1D02">
        <w:rPr>
          <w:shd w:val="clear" w:color="auto" w:fill="FFFFFF"/>
        </w:rPr>
        <w:t>.</w:t>
      </w:r>
    </w:p>
    <w:p w14:paraId="7A1F78B4" w14:textId="6AB2C881" w:rsidR="00AF0DEB" w:rsidRDefault="00984C9A" w:rsidP="009C1D02">
      <w:pPr>
        <w:spacing w:before="240"/>
      </w:pPr>
      <w:r>
        <w:t>Whe</w:t>
      </w:r>
      <w:r w:rsidR="0096148B">
        <w:t>re</w:t>
      </w:r>
      <w:r>
        <w:t xml:space="preserve"> the office of the relevant entity </w:t>
      </w:r>
      <w:r w:rsidR="004957BA">
        <w:t>i</w:t>
      </w:r>
      <w:r>
        <w:t xml:space="preserve">s in a particular suburb, </w:t>
      </w:r>
      <w:r w:rsidR="00AF0DEB">
        <w:t>an authorisation that refer</w:t>
      </w:r>
      <w:r w:rsidR="00D27A69">
        <w:t xml:space="preserve">s </w:t>
      </w:r>
      <w:r>
        <w:t xml:space="preserve">only </w:t>
      </w:r>
      <w:r w:rsidR="00AF0DEB">
        <w:t xml:space="preserve">to </w:t>
      </w:r>
      <w:r>
        <w:t>the</w:t>
      </w:r>
      <w:r w:rsidR="00AF0DEB">
        <w:t xml:space="preserve"> greater metropolitan area</w:t>
      </w:r>
      <w:r>
        <w:t xml:space="preserve"> (e.g. Brisbane) would </w:t>
      </w:r>
      <w:r w:rsidR="00313EE9">
        <w:t xml:space="preserve">generally </w:t>
      </w:r>
      <w:r>
        <w:t>be sufficient information</w:t>
      </w:r>
      <w:r w:rsidR="00AF0DEB">
        <w:t xml:space="preserve">. </w:t>
      </w:r>
    </w:p>
    <w:p w14:paraId="545CDF73" w14:textId="3E8CED18" w:rsidR="00AF0DEB" w:rsidRDefault="00984C9A">
      <w:r>
        <w:t xml:space="preserve">Exceptions to this approach may include circumstances where </w:t>
      </w:r>
      <w:r w:rsidR="00313EE9">
        <w:t>a</w:t>
      </w:r>
      <w:r>
        <w:t xml:space="preserve"> locality or suburb </w:t>
      </w:r>
      <w:r w:rsidR="00313EE9">
        <w:t>i</w:t>
      </w:r>
      <w:r>
        <w:t xml:space="preserve">s relevant to the </w:t>
      </w:r>
      <w:r w:rsidR="00D27A69">
        <w:t xml:space="preserve">audience’s </w:t>
      </w:r>
      <w:r w:rsidR="00313EE9">
        <w:t xml:space="preserve">understanding of the </w:t>
      </w:r>
      <w:r>
        <w:t xml:space="preserve">political matter. </w:t>
      </w:r>
      <w:r w:rsidR="007A429A">
        <w:t>Therefore, w</w:t>
      </w:r>
      <w:r w:rsidR="00313EE9">
        <w:t>here a</w:t>
      </w:r>
      <w:r w:rsidR="00D27A69">
        <w:t xml:space="preserve"> </w:t>
      </w:r>
      <w:r w:rsidR="00313EE9">
        <w:t>campaign</w:t>
      </w:r>
      <w:r w:rsidR="00D27A69">
        <w:t xml:space="preserve"> is </w:t>
      </w:r>
      <w:r w:rsidR="00313EE9">
        <w:t>a</w:t>
      </w:r>
      <w:r w:rsidR="00D27A69">
        <w:t xml:space="preserve">bout </w:t>
      </w:r>
      <w:r w:rsidR="00313EE9">
        <w:t>a local</w:t>
      </w:r>
      <w:r w:rsidR="00D27A69">
        <w:t xml:space="preserve"> issue it </w:t>
      </w:r>
      <w:r w:rsidR="007A429A">
        <w:t>may</w:t>
      </w:r>
      <w:r w:rsidR="000E383B">
        <w:t xml:space="preserve"> be</w:t>
      </w:r>
      <w:r w:rsidR="00D27A69">
        <w:t xml:space="preserve"> relevant for the audience to know whether the </w:t>
      </w:r>
      <w:r w:rsidR="000E383B">
        <w:t>entity seeking to influence their view</w:t>
      </w:r>
      <w:r w:rsidR="00D27A69">
        <w:t xml:space="preserve"> is from the local area or </w:t>
      </w:r>
      <w:r w:rsidR="000E383B">
        <w:t>from outside</w:t>
      </w:r>
      <w:r w:rsidR="00D27A69">
        <w:t xml:space="preserve">. </w:t>
      </w:r>
      <w:r w:rsidR="00B2503E">
        <w:t xml:space="preserve">In </w:t>
      </w:r>
      <w:r w:rsidR="00313EE9">
        <w:t>such a situation, merely citing the general metropolitan area may not suffice.</w:t>
      </w:r>
    </w:p>
    <w:p w14:paraId="7370D566" w14:textId="5E1707C1" w:rsidR="00875D00" w:rsidRDefault="00875D00" w:rsidP="00875D00">
      <w:r>
        <w:t xml:space="preserve">If the entity is a natural person, the required particulars include the town or city in which the person lives. </w:t>
      </w:r>
    </w:p>
    <w:p w14:paraId="61A876D0" w14:textId="5CB6AB1D" w:rsidR="00465D8F" w:rsidRPr="004258FC" w:rsidRDefault="00465D8F" w:rsidP="00465D8F">
      <w:pPr>
        <w:pStyle w:val="Heading2"/>
      </w:pPr>
      <w:bookmarkStart w:id="25" w:name="_Toc10639009"/>
      <w:r>
        <w:t>E</w:t>
      </w:r>
      <w:r w:rsidRPr="004258FC">
        <w:t>nsur</w:t>
      </w:r>
      <w:r>
        <w:t>ing</w:t>
      </w:r>
      <w:r w:rsidRPr="004258FC">
        <w:t xml:space="preserve"> compliance</w:t>
      </w:r>
      <w:bookmarkEnd w:id="25"/>
    </w:p>
    <w:p w14:paraId="16E30366" w14:textId="467CC3FB" w:rsidR="00465D8F" w:rsidRPr="007A0368" w:rsidRDefault="001B0ACF" w:rsidP="00465D8F">
      <w:r>
        <w:t>Licensee</w:t>
      </w:r>
      <w:r w:rsidRPr="007A0368">
        <w:t xml:space="preserve">s </w:t>
      </w:r>
      <w:r w:rsidR="00465D8F" w:rsidRPr="007A0368">
        <w:t xml:space="preserve">are responsible for compliance with the </w:t>
      </w:r>
      <w:r w:rsidR="00550226">
        <w:t xml:space="preserve">provision </w:t>
      </w:r>
      <w:r w:rsidR="003C789E">
        <w:t>about broadcasting the required particulars</w:t>
      </w:r>
      <w:r w:rsidR="00465D8F" w:rsidRPr="007A0368">
        <w:t xml:space="preserve">. </w:t>
      </w:r>
    </w:p>
    <w:p w14:paraId="1E0620DF" w14:textId="3B775657" w:rsidR="00465D8F" w:rsidRPr="009C1D02" w:rsidDel="00FC0E64" w:rsidRDefault="0096148B" w:rsidP="00465D8F">
      <w:r w:rsidDel="00FC0E64">
        <w:t>T</w:t>
      </w:r>
      <w:r w:rsidR="00465D8F" w:rsidRPr="007A0368" w:rsidDel="00FC0E64">
        <w:t>his mean</w:t>
      </w:r>
      <w:r w:rsidDel="00FC0E64">
        <w:t>s</w:t>
      </w:r>
      <w:r w:rsidR="00465D8F" w:rsidRPr="007A0368" w:rsidDel="00FC0E64">
        <w:t xml:space="preserve"> taking steps to determine </w:t>
      </w:r>
      <w:r w:rsidR="004E4E79">
        <w:t>whether</w:t>
      </w:r>
      <w:r w:rsidR="00465D8F" w:rsidRPr="007A0368" w:rsidDel="00FC0E64">
        <w:t xml:space="preserve"> the person who authorises the broadcast of </w:t>
      </w:r>
      <w:r w:rsidR="00465D8F" w:rsidRPr="009C1D02" w:rsidDel="00FC0E64">
        <w:t xml:space="preserve">the political matter is a ‘disclosure entity’. </w:t>
      </w:r>
    </w:p>
    <w:p w14:paraId="6C27C30E" w14:textId="33A3F0AA" w:rsidR="00465D8F" w:rsidRPr="009C1D02" w:rsidRDefault="00B15083">
      <w:r w:rsidRPr="009C1D02">
        <w:t xml:space="preserve">For </w:t>
      </w:r>
      <w:r w:rsidR="00824B3C" w:rsidRPr="009C1D02">
        <w:t>matter autho</w:t>
      </w:r>
      <w:r w:rsidR="00C36358" w:rsidRPr="009C1D02">
        <w:t>ri</w:t>
      </w:r>
      <w:r w:rsidR="00824B3C" w:rsidRPr="009C1D02">
        <w:t>sed by</w:t>
      </w:r>
      <w:r w:rsidR="00D4243F" w:rsidRPr="009C1D02">
        <w:t xml:space="preserve"> </w:t>
      </w:r>
      <w:r w:rsidR="00CE4BB2" w:rsidRPr="009C1D02">
        <w:t>persons or entities who are not disclosure entities</w:t>
      </w:r>
      <w:r w:rsidR="0096360B" w:rsidRPr="009C1D02">
        <w:t>, a</w:t>
      </w:r>
      <w:r w:rsidR="00465D8F" w:rsidRPr="009C1D02">
        <w:t xml:space="preserve"> </w:t>
      </w:r>
      <w:r w:rsidR="001B0ACF" w:rsidRPr="009C1D02">
        <w:t xml:space="preserve">licensee </w:t>
      </w:r>
      <w:r w:rsidR="00465D8F" w:rsidRPr="009C1D02">
        <w:t>is taken to have ensured that required particulars are announced if</w:t>
      </w:r>
      <w:r w:rsidR="00E228DB" w:rsidRPr="009C1D02">
        <w:t xml:space="preserve">, </w:t>
      </w:r>
      <w:r w:rsidR="00465D8F" w:rsidRPr="009C1D02">
        <w:rPr>
          <w:rFonts w:cs="Arial"/>
          <w:szCs w:val="20"/>
        </w:rPr>
        <w:t xml:space="preserve">as a result of </w:t>
      </w:r>
      <w:r w:rsidR="00465D8F" w:rsidRPr="009C1D02">
        <w:rPr>
          <w:rFonts w:cs="Arial"/>
          <w:szCs w:val="20"/>
        </w:rPr>
        <w:lastRenderedPageBreak/>
        <w:t xml:space="preserve">steps taken by the </w:t>
      </w:r>
      <w:r w:rsidR="001B0ACF" w:rsidRPr="009C1D02">
        <w:rPr>
          <w:rFonts w:cs="Arial"/>
          <w:szCs w:val="20"/>
        </w:rPr>
        <w:t>licensee</w:t>
      </w:r>
      <w:r w:rsidR="00465D8F" w:rsidRPr="009C1D02">
        <w:rPr>
          <w:rFonts w:cs="Arial"/>
          <w:szCs w:val="20"/>
        </w:rPr>
        <w:t xml:space="preserve">, it was reasonable for the </w:t>
      </w:r>
      <w:r w:rsidR="001B0ACF" w:rsidRPr="009C1D02">
        <w:rPr>
          <w:rFonts w:cs="Arial"/>
          <w:szCs w:val="20"/>
        </w:rPr>
        <w:t xml:space="preserve">licensee </w:t>
      </w:r>
      <w:r w:rsidR="00465D8F" w:rsidRPr="009C1D02">
        <w:rPr>
          <w:rFonts w:cs="Arial"/>
          <w:szCs w:val="20"/>
        </w:rPr>
        <w:t>to rely on the particulars that were provided</w:t>
      </w:r>
      <w:r w:rsidR="00FC0E64" w:rsidRPr="009C1D02">
        <w:rPr>
          <w:rFonts w:cs="Arial"/>
          <w:szCs w:val="20"/>
        </w:rPr>
        <w:t xml:space="preserve"> to it</w:t>
      </w:r>
      <w:r w:rsidR="00465D8F" w:rsidRPr="009C1D02">
        <w:t>.</w:t>
      </w:r>
      <w:r w:rsidR="00F72B75" w:rsidRPr="009C1D02">
        <w:rPr>
          <w:rStyle w:val="FootnoteReference"/>
        </w:rPr>
        <w:footnoteReference w:id="5"/>
      </w:r>
      <w:r w:rsidR="00465D8F" w:rsidRPr="009C1D02">
        <w:t xml:space="preserve"> </w:t>
      </w:r>
    </w:p>
    <w:p w14:paraId="28FEA87F" w14:textId="77777777" w:rsidR="00FC0E64" w:rsidRPr="009C1D02" w:rsidRDefault="00126DF3" w:rsidP="00A56A02">
      <w:pPr>
        <w:keepNext/>
        <w:keepLines/>
        <w:spacing w:after="80"/>
        <w:rPr>
          <w:rFonts w:cs="Arial"/>
          <w:szCs w:val="20"/>
        </w:rPr>
      </w:pPr>
      <w:r w:rsidRPr="009C1D02">
        <w:rPr>
          <w:rFonts w:cs="Arial"/>
          <w:szCs w:val="20"/>
        </w:rPr>
        <w:t>S</w:t>
      </w:r>
      <w:r w:rsidR="00465D8F" w:rsidRPr="009C1D02">
        <w:rPr>
          <w:rFonts w:cs="Arial"/>
          <w:szCs w:val="20"/>
        </w:rPr>
        <w:t xml:space="preserve">teps that may be taken by the </w:t>
      </w:r>
      <w:r w:rsidR="001B0ACF" w:rsidRPr="009C1D02">
        <w:rPr>
          <w:rFonts w:cs="Arial"/>
          <w:szCs w:val="20"/>
        </w:rPr>
        <w:t xml:space="preserve">licensee </w:t>
      </w:r>
      <w:r w:rsidR="00465D8F" w:rsidRPr="009C1D02">
        <w:rPr>
          <w:rFonts w:cs="Arial"/>
          <w:szCs w:val="20"/>
        </w:rPr>
        <w:t>include</w:t>
      </w:r>
      <w:r w:rsidR="00FC0E64" w:rsidRPr="009C1D02">
        <w:rPr>
          <w:rFonts w:cs="Arial"/>
          <w:szCs w:val="20"/>
        </w:rPr>
        <w:t>:</w:t>
      </w:r>
      <w:r w:rsidR="00465D8F" w:rsidRPr="009C1D02">
        <w:rPr>
          <w:rFonts w:cs="Arial"/>
          <w:szCs w:val="20"/>
        </w:rPr>
        <w:t xml:space="preserve"> </w:t>
      </w:r>
    </w:p>
    <w:p w14:paraId="342312E6" w14:textId="4A5A9752" w:rsidR="00FC0E64" w:rsidRPr="009C1D02" w:rsidRDefault="00465D8F" w:rsidP="00A56A02">
      <w:pPr>
        <w:pStyle w:val="ListBullet"/>
        <w:keepNext/>
        <w:keepLines/>
        <w:rPr>
          <w:lang w:val="en-US"/>
        </w:rPr>
      </w:pPr>
      <w:r w:rsidRPr="009C1D02">
        <w:t xml:space="preserve">notifying a person wanting to broadcast political matter that the name of the person required to be announced as having authorised the broadcast depends on whether the person is a disclosure entity </w:t>
      </w:r>
    </w:p>
    <w:p w14:paraId="4C72EB31" w14:textId="2D79C90F" w:rsidR="00465D8F" w:rsidRPr="009C1D02" w:rsidRDefault="00465D8F" w:rsidP="00A56A02">
      <w:pPr>
        <w:pStyle w:val="ListBulletLast"/>
        <w:rPr>
          <w:lang w:val="en-US"/>
        </w:rPr>
      </w:pPr>
      <w:r w:rsidRPr="009C1D02">
        <w:t xml:space="preserve">seeking a verification </w:t>
      </w:r>
      <w:r w:rsidR="00126DF3" w:rsidRPr="009C1D02">
        <w:t xml:space="preserve">whether </w:t>
      </w:r>
      <w:r w:rsidRPr="009C1D02">
        <w:t>the person is a disclosure entity.</w:t>
      </w:r>
    </w:p>
    <w:p w14:paraId="25FE9848" w14:textId="4B1C860A" w:rsidR="00465D8F" w:rsidRDefault="00465D8F" w:rsidP="009C1D02">
      <w:pPr>
        <w:spacing w:before="240"/>
      </w:pPr>
      <w:r w:rsidRPr="009C1D02">
        <w:t>More information about disclosure entities</w:t>
      </w:r>
      <w:r w:rsidR="0096148B" w:rsidRPr="009C1D02">
        <w:t>—</w:t>
      </w:r>
      <w:r w:rsidRPr="009C1D02">
        <w:t xml:space="preserve">including current listings of entities </w:t>
      </w:r>
      <w:r w:rsidR="006C2ED9">
        <w:t>that have lodged</w:t>
      </w:r>
      <w:r w:rsidRPr="009C1D02">
        <w:t xml:space="preserve"> returns</w:t>
      </w:r>
      <w:r w:rsidR="0096148B" w:rsidRPr="009C1D02">
        <w:t>—</w:t>
      </w:r>
      <w:r w:rsidRPr="009C1D02">
        <w:t xml:space="preserve">is available </w:t>
      </w:r>
      <w:r w:rsidR="006C2ED9">
        <w:t xml:space="preserve">on the Transparency Register </w:t>
      </w:r>
      <w:r w:rsidR="00336476">
        <w:t xml:space="preserve">on the </w:t>
      </w:r>
      <w:hyperlink r:id="rId35" w:history="1">
        <w:r w:rsidR="00336476" w:rsidRPr="00336476">
          <w:rPr>
            <w:rStyle w:val="Hyperlink"/>
          </w:rPr>
          <w:t>AEC website</w:t>
        </w:r>
      </w:hyperlink>
      <w:r w:rsidRPr="009C1D02">
        <w:t>.</w:t>
      </w:r>
    </w:p>
    <w:p w14:paraId="3EDAA727" w14:textId="77777777" w:rsidR="00B95DDE" w:rsidRPr="009C1D02" w:rsidRDefault="00B95DDE" w:rsidP="00B95DDE">
      <w:pPr>
        <w:pStyle w:val="Heading2"/>
      </w:pPr>
      <w:bookmarkStart w:id="26" w:name="_Toc10639010"/>
      <w:r w:rsidRPr="009C1D02">
        <w:t>Keeping records</w:t>
      </w:r>
      <w:bookmarkEnd w:id="26"/>
    </w:p>
    <w:p w14:paraId="654B5583" w14:textId="77777777" w:rsidR="00B95DDE" w:rsidRDefault="00B95DDE" w:rsidP="00A56A02">
      <w:pPr>
        <w:spacing w:after="80"/>
      </w:pPr>
      <w:r w:rsidRPr="009C1D02">
        <w:t xml:space="preserve">A licensee must keep, for the </w:t>
      </w:r>
      <w:r>
        <w:t>‘</w:t>
      </w:r>
      <w:r w:rsidRPr="009C1D02">
        <w:t>required period</w:t>
      </w:r>
      <w:r>
        <w:t>’</w:t>
      </w:r>
      <w:r w:rsidRPr="009C1D02">
        <w:t>, a record of</w:t>
      </w:r>
      <w:r>
        <w:t xml:space="preserve"> the:</w:t>
      </w:r>
      <w:r w:rsidRPr="009C1D02">
        <w:t xml:space="preserve"> </w:t>
      </w:r>
    </w:p>
    <w:p w14:paraId="161C7455" w14:textId="77777777" w:rsidR="00B95DDE" w:rsidRPr="002D7C25" w:rsidRDefault="00B95DDE" w:rsidP="00B95DDE">
      <w:pPr>
        <w:pStyle w:val="ListParagraph"/>
        <w:numPr>
          <w:ilvl w:val="0"/>
          <w:numId w:val="19"/>
        </w:numPr>
        <w:spacing w:after="80" w:line="240" w:lineRule="atLeast"/>
        <w:ind w:left="295" w:hanging="295"/>
        <w:contextualSpacing w:val="0"/>
        <w:rPr>
          <w:rFonts w:cs="Arial"/>
          <w:szCs w:val="20"/>
          <w:shd w:val="clear" w:color="auto" w:fill="FFFFFF"/>
        </w:rPr>
      </w:pPr>
      <w:r w:rsidRPr="002D7C25">
        <w:rPr>
          <w:rFonts w:ascii="Arial" w:eastAsia="Times New Roman" w:hAnsi="Arial" w:cs="Arial"/>
          <w:sz w:val="20"/>
          <w:szCs w:val="20"/>
          <w:shd w:val="clear" w:color="auto" w:fill="FFFFFF"/>
        </w:rPr>
        <w:t xml:space="preserve">name </w:t>
      </w:r>
    </w:p>
    <w:p w14:paraId="5CA7B060" w14:textId="77777777" w:rsidR="00B95DDE" w:rsidRPr="002D7C25" w:rsidRDefault="00B95DDE" w:rsidP="00B95DDE">
      <w:pPr>
        <w:pStyle w:val="ListParagraph"/>
        <w:numPr>
          <w:ilvl w:val="0"/>
          <w:numId w:val="19"/>
        </w:numPr>
        <w:spacing w:after="80" w:line="240" w:lineRule="atLeast"/>
        <w:ind w:left="295" w:hanging="295"/>
        <w:contextualSpacing w:val="0"/>
        <w:rPr>
          <w:rFonts w:cs="Arial"/>
          <w:szCs w:val="20"/>
          <w:shd w:val="clear" w:color="auto" w:fill="FFFFFF"/>
        </w:rPr>
      </w:pPr>
      <w:r w:rsidRPr="002D7C25">
        <w:rPr>
          <w:rFonts w:ascii="Arial" w:eastAsia="Times New Roman" w:hAnsi="Arial" w:cs="Arial"/>
          <w:sz w:val="20"/>
          <w:szCs w:val="20"/>
          <w:shd w:val="clear" w:color="auto" w:fill="FFFFFF"/>
        </w:rPr>
        <w:t xml:space="preserve">address </w:t>
      </w:r>
    </w:p>
    <w:p w14:paraId="2826485D" w14:textId="1922EFD4" w:rsidR="00B95DDE" w:rsidRDefault="00B95DDE" w:rsidP="00B95DDE">
      <w:pPr>
        <w:pStyle w:val="ListParagraph"/>
        <w:numPr>
          <w:ilvl w:val="0"/>
          <w:numId w:val="19"/>
        </w:numPr>
        <w:spacing w:after="240" w:line="240" w:lineRule="atLeast"/>
        <w:ind w:left="295" w:hanging="295"/>
        <w:contextualSpacing w:val="0"/>
        <w:rPr>
          <w:rFonts w:ascii="Arial" w:eastAsia="Times New Roman" w:hAnsi="Arial" w:cs="Arial"/>
          <w:sz w:val="20"/>
          <w:szCs w:val="20"/>
          <w:shd w:val="clear" w:color="auto" w:fill="FFFFFF"/>
        </w:rPr>
      </w:pPr>
      <w:r w:rsidRPr="002D7C25">
        <w:rPr>
          <w:rFonts w:ascii="Arial" w:eastAsia="Times New Roman" w:hAnsi="Arial" w:cs="Arial"/>
          <w:sz w:val="20"/>
          <w:szCs w:val="20"/>
          <w:shd w:val="clear" w:color="auto" w:fill="FFFFFF"/>
        </w:rPr>
        <w:t>occupation</w:t>
      </w:r>
      <w:r w:rsidR="00F90E5D">
        <w:rPr>
          <w:rFonts w:ascii="Arial" w:eastAsia="Times New Roman" w:hAnsi="Arial" w:cs="Arial"/>
          <w:sz w:val="20"/>
          <w:szCs w:val="20"/>
          <w:shd w:val="clear" w:color="auto" w:fill="FFFFFF"/>
        </w:rPr>
        <w:t xml:space="preserve"> </w:t>
      </w:r>
      <w:r w:rsidRPr="002D7C25">
        <w:rPr>
          <w:rFonts w:ascii="Arial" w:eastAsia="Times New Roman" w:hAnsi="Arial" w:cs="Arial"/>
          <w:sz w:val="20"/>
          <w:szCs w:val="20"/>
          <w:shd w:val="clear" w:color="auto" w:fill="FFFFFF"/>
        </w:rPr>
        <w:t xml:space="preserve"> </w:t>
      </w:r>
    </w:p>
    <w:p w14:paraId="5FB2EA6E" w14:textId="77777777" w:rsidR="00B95DDE" w:rsidRPr="002D7C25" w:rsidRDefault="00B95DDE" w:rsidP="00B95DDE">
      <w:pPr>
        <w:rPr>
          <w:rFonts w:cs="Arial"/>
          <w:szCs w:val="20"/>
          <w:shd w:val="clear" w:color="auto" w:fill="FFFFFF"/>
        </w:rPr>
      </w:pPr>
      <w:r w:rsidRPr="002D7C25">
        <w:rPr>
          <w:rFonts w:cs="Arial"/>
          <w:szCs w:val="20"/>
          <w:shd w:val="clear" w:color="auto" w:fill="FFFFFF"/>
        </w:rPr>
        <w:t xml:space="preserve">of the person (or the name and address of the principal office, if the person is a company) that requests the broadcast of political matter (subclause 4(3) of Schedule 2 to the BSA). </w:t>
      </w:r>
    </w:p>
    <w:p w14:paraId="6DD86536" w14:textId="77777777" w:rsidR="00B95DDE" w:rsidRPr="009C1D02" w:rsidRDefault="00B95DDE" w:rsidP="00B95DDE">
      <w:pPr>
        <w:rPr>
          <w:rFonts w:cs="Arial"/>
          <w:szCs w:val="20"/>
        </w:rPr>
      </w:pPr>
      <w:r w:rsidRPr="009C1D02">
        <w:rPr>
          <w:rFonts w:cs="Arial"/>
          <w:szCs w:val="20"/>
        </w:rPr>
        <w:t xml:space="preserve">The </w:t>
      </w:r>
      <w:r>
        <w:rPr>
          <w:rFonts w:cs="Arial"/>
          <w:szCs w:val="20"/>
        </w:rPr>
        <w:t>‘</w:t>
      </w:r>
      <w:r w:rsidRPr="009C1D02">
        <w:rPr>
          <w:rFonts w:cs="Arial"/>
          <w:szCs w:val="20"/>
        </w:rPr>
        <w:t>required period</w:t>
      </w:r>
      <w:r>
        <w:rPr>
          <w:rFonts w:cs="Arial"/>
          <w:szCs w:val="20"/>
        </w:rPr>
        <w:t>’</w:t>
      </w:r>
      <w:r w:rsidRPr="009C1D02">
        <w:rPr>
          <w:rFonts w:cs="Arial"/>
          <w:szCs w:val="20"/>
        </w:rPr>
        <w:t xml:space="preserve"> is the longer of six weeks from the date of the broadcast or until the day on which the election ends (if the matter relates to an election or referendum and was broadcast during the relevant election period). The ACMA can direct a licensee (in writing) to keep records for a longer period.</w:t>
      </w:r>
    </w:p>
    <w:p w14:paraId="21AFADFF" w14:textId="77777777" w:rsidR="00B95DDE" w:rsidRDefault="00B95DDE" w:rsidP="00B95DDE">
      <w:r w:rsidRPr="009C1D02">
        <w:t>These records must be given to the ACMA if requested by written notice.</w:t>
      </w:r>
      <w:r w:rsidRPr="009C1D02">
        <w:rPr>
          <w:rStyle w:val="FootnoteReference"/>
        </w:rPr>
        <w:footnoteReference w:id="6"/>
      </w:r>
    </w:p>
    <w:p w14:paraId="0DFD05F8" w14:textId="77777777" w:rsidR="00B95DDE" w:rsidRPr="009C1D02" w:rsidRDefault="00B95DDE" w:rsidP="009C1D02">
      <w:pPr>
        <w:spacing w:before="240"/>
      </w:pPr>
    </w:p>
    <w:p w14:paraId="4E30A2A2" w14:textId="77777777" w:rsidR="008F2663" w:rsidRDefault="008F2663" w:rsidP="008F2663">
      <w:pPr>
        <w:pStyle w:val="Heading1"/>
      </w:pPr>
      <w:bookmarkStart w:id="27" w:name="_Toc10639011"/>
      <w:r>
        <w:lastRenderedPageBreak/>
        <w:t>Election matter</w:t>
      </w:r>
      <w:bookmarkEnd w:id="27"/>
    </w:p>
    <w:p w14:paraId="3142962E" w14:textId="18FDDCEC" w:rsidR="006A00E3" w:rsidRPr="008F2663" w:rsidRDefault="005149AD" w:rsidP="008F2663">
      <w:pPr>
        <w:pStyle w:val="Heading2"/>
        <w:rPr>
          <w:shd w:val="clear" w:color="auto" w:fill="FFFFFF"/>
        </w:rPr>
      </w:pPr>
      <w:bookmarkStart w:id="28" w:name="_Toc10639012"/>
      <w:r w:rsidRPr="008F2663">
        <w:rPr>
          <w:shd w:val="clear" w:color="auto" w:fill="FFFFFF"/>
        </w:rPr>
        <w:t xml:space="preserve">What is </w:t>
      </w:r>
      <w:r w:rsidR="00D0541C">
        <w:rPr>
          <w:shd w:val="clear" w:color="auto" w:fill="FFFFFF"/>
        </w:rPr>
        <w:t>‘</w:t>
      </w:r>
      <w:r w:rsidRPr="008F2663">
        <w:rPr>
          <w:shd w:val="clear" w:color="auto" w:fill="FFFFFF"/>
        </w:rPr>
        <w:t>e</w:t>
      </w:r>
      <w:r w:rsidR="006A00E3" w:rsidRPr="008F2663">
        <w:rPr>
          <w:shd w:val="clear" w:color="auto" w:fill="FFFFFF"/>
        </w:rPr>
        <w:t>lection</w:t>
      </w:r>
      <w:r w:rsidRPr="008F2663">
        <w:rPr>
          <w:shd w:val="clear" w:color="auto" w:fill="FFFFFF"/>
        </w:rPr>
        <w:t xml:space="preserve"> matter</w:t>
      </w:r>
      <w:r w:rsidR="00D0541C">
        <w:rPr>
          <w:shd w:val="clear" w:color="auto" w:fill="FFFFFF"/>
        </w:rPr>
        <w:t>’</w:t>
      </w:r>
      <w:r w:rsidRPr="008F2663">
        <w:rPr>
          <w:shd w:val="clear" w:color="auto" w:fill="FFFFFF"/>
        </w:rPr>
        <w:t>?</w:t>
      </w:r>
      <w:bookmarkEnd w:id="28"/>
      <w:r w:rsidR="006A00E3" w:rsidRPr="008F2663">
        <w:rPr>
          <w:shd w:val="clear" w:color="auto" w:fill="FFFFFF"/>
        </w:rPr>
        <w:t xml:space="preserve"> </w:t>
      </w:r>
    </w:p>
    <w:p w14:paraId="0C303A46" w14:textId="34C516E3" w:rsidR="002B59EC" w:rsidRPr="002B59EC" w:rsidRDefault="00D0541C" w:rsidP="002B59EC">
      <w:pPr>
        <w:pStyle w:val="definition"/>
        <w:shd w:val="clear" w:color="auto" w:fill="FFFFFF"/>
        <w:spacing w:before="180" w:beforeAutospacing="0" w:after="0" w:afterAutospacing="0"/>
        <w:rPr>
          <w:rFonts w:ascii="Arial" w:hAnsi="Arial" w:cs="Arial"/>
          <w:color w:val="000000"/>
          <w:sz w:val="20"/>
          <w:szCs w:val="20"/>
        </w:rPr>
      </w:pPr>
      <w:r>
        <w:rPr>
          <w:rFonts w:ascii="Arial" w:hAnsi="Arial" w:cs="Arial"/>
          <w:bCs/>
          <w:iCs/>
          <w:color w:val="000000"/>
          <w:sz w:val="20"/>
          <w:szCs w:val="20"/>
        </w:rPr>
        <w:t>‘</w:t>
      </w:r>
      <w:r w:rsidRPr="00A56A02">
        <w:rPr>
          <w:rFonts w:ascii="Arial" w:hAnsi="Arial" w:cs="Arial"/>
          <w:bCs/>
          <w:iCs/>
          <w:color w:val="000000"/>
          <w:sz w:val="20"/>
          <w:szCs w:val="20"/>
        </w:rPr>
        <w:t>E</w:t>
      </w:r>
      <w:r w:rsidR="002B59EC" w:rsidRPr="00A56A02">
        <w:rPr>
          <w:rFonts w:ascii="Arial" w:hAnsi="Arial" w:cs="Arial"/>
          <w:bCs/>
          <w:iCs/>
          <w:color w:val="000000"/>
          <w:sz w:val="20"/>
          <w:szCs w:val="20"/>
        </w:rPr>
        <w:t>lection matter</w:t>
      </w:r>
      <w:r>
        <w:rPr>
          <w:rFonts w:ascii="Arial" w:hAnsi="Arial" w:cs="Arial"/>
          <w:bCs/>
          <w:iCs/>
          <w:color w:val="000000"/>
          <w:sz w:val="20"/>
          <w:szCs w:val="20"/>
        </w:rPr>
        <w:t>’</w:t>
      </w:r>
      <w:r w:rsidR="002B59EC" w:rsidRPr="002B59EC">
        <w:rPr>
          <w:rFonts w:ascii="Arial" w:hAnsi="Arial" w:cs="Arial"/>
          <w:color w:val="000000"/>
          <w:sz w:val="20"/>
          <w:szCs w:val="20"/>
        </w:rPr>
        <w:t>, in relation to an election, means matter of any of the following kinds:</w:t>
      </w:r>
    </w:p>
    <w:p w14:paraId="31383CFD" w14:textId="2F5CB932" w:rsidR="002B59EC" w:rsidRDefault="002B59EC" w:rsidP="00A56A02">
      <w:pPr>
        <w:pStyle w:val="paragraph"/>
        <w:numPr>
          <w:ilvl w:val="0"/>
          <w:numId w:val="32"/>
        </w:numPr>
        <w:shd w:val="clear" w:color="auto" w:fill="FFFFFF"/>
        <w:spacing w:before="40" w:beforeAutospacing="0" w:after="0" w:afterAutospacing="0"/>
        <w:ind w:left="1560"/>
        <w:rPr>
          <w:rFonts w:ascii="Arial" w:hAnsi="Arial" w:cs="Arial"/>
          <w:color w:val="000000"/>
          <w:sz w:val="20"/>
          <w:szCs w:val="20"/>
        </w:rPr>
      </w:pPr>
      <w:r w:rsidRPr="002B59EC">
        <w:rPr>
          <w:rFonts w:ascii="Arial" w:hAnsi="Arial" w:cs="Arial"/>
          <w:color w:val="000000"/>
          <w:sz w:val="20"/>
          <w:szCs w:val="20"/>
        </w:rPr>
        <w:t>matter commenting on, or soliciting votes for, a candidate at the</w:t>
      </w:r>
      <w:r w:rsidR="00D0541C">
        <w:rPr>
          <w:rFonts w:ascii="Arial" w:hAnsi="Arial" w:cs="Arial"/>
          <w:color w:val="000000"/>
          <w:sz w:val="20"/>
          <w:szCs w:val="20"/>
        </w:rPr>
        <w:t xml:space="preserve"> </w:t>
      </w:r>
      <w:r w:rsidRPr="002B59EC">
        <w:rPr>
          <w:rFonts w:ascii="Arial" w:hAnsi="Arial" w:cs="Arial"/>
          <w:color w:val="000000"/>
          <w:sz w:val="20"/>
          <w:szCs w:val="20"/>
        </w:rPr>
        <w:t>election</w:t>
      </w:r>
    </w:p>
    <w:p w14:paraId="14F29D2D" w14:textId="2C8D4406" w:rsidR="00D0541C" w:rsidRDefault="00D0541C" w:rsidP="00A56A02">
      <w:pPr>
        <w:pStyle w:val="paragraph"/>
        <w:numPr>
          <w:ilvl w:val="0"/>
          <w:numId w:val="32"/>
        </w:numPr>
        <w:shd w:val="clear" w:color="auto" w:fill="FFFFFF"/>
        <w:spacing w:before="40" w:beforeAutospacing="0" w:after="0" w:afterAutospacing="0"/>
        <w:ind w:left="1560"/>
        <w:rPr>
          <w:rFonts w:ascii="Arial" w:hAnsi="Arial" w:cs="Arial"/>
          <w:color w:val="000000"/>
          <w:sz w:val="20"/>
          <w:szCs w:val="20"/>
        </w:rPr>
      </w:pPr>
      <w:r w:rsidRPr="002B59EC">
        <w:rPr>
          <w:rFonts w:ascii="Arial" w:hAnsi="Arial" w:cs="Arial"/>
          <w:color w:val="000000"/>
          <w:sz w:val="20"/>
          <w:szCs w:val="20"/>
        </w:rPr>
        <w:t>matter commenting on, or advocating support of, a political party to which a candidate at the election belongs</w:t>
      </w:r>
    </w:p>
    <w:p w14:paraId="42776688" w14:textId="45937B3B" w:rsidR="00D0541C" w:rsidRDefault="00D0541C" w:rsidP="00A56A02">
      <w:pPr>
        <w:pStyle w:val="paragraph"/>
        <w:numPr>
          <w:ilvl w:val="0"/>
          <w:numId w:val="32"/>
        </w:numPr>
        <w:shd w:val="clear" w:color="auto" w:fill="FFFFFF"/>
        <w:spacing w:before="40" w:beforeAutospacing="0" w:after="0" w:afterAutospacing="0"/>
        <w:ind w:left="1560"/>
        <w:rPr>
          <w:rFonts w:ascii="Arial" w:hAnsi="Arial" w:cs="Arial"/>
          <w:color w:val="000000"/>
          <w:sz w:val="20"/>
          <w:szCs w:val="20"/>
        </w:rPr>
      </w:pPr>
      <w:r w:rsidRPr="002B59EC">
        <w:rPr>
          <w:rFonts w:ascii="Arial" w:hAnsi="Arial" w:cs="Arial"/>
          <w:color w:val="000000"/>
          <w:sz w:val="20"/>
          <w:szCs w:val="20"/>
        </w:rPr>
        <w:t>matter commenting on, stating or indicating any of the matters being submitted to the electors at the election or any part of the policy of a candidate at the election or of the political party to which a candidate at the election belongs</w:t>
      </w:r>
    </w:p>
    <w:p w14:paraId="41370A1D" w14:textId="5FF56D1B" w:rsidR="002B59EC" w:rsidRPr="002B59EC" w:rsidRDefault="00D0541C" w:rsidP="00A56A02">
      <w:pPr>
        <w:pStyle w:val="paragraph"/>
        <w:numPr>
          <w:ilvl w:val="0"/>
          <w:numId w:val="32"/>
        </w:numPr>
        <w:shd w:val="clear" w:color="auto" w:fill="FFFFFF"/>
        <w:spacing w:before="40" w:beforeAutospacing="0" w:after="0" w:afterAutospacing="0"/>
        <w:ind w:left="1560"/>
        <w:rPr>
          <w:rFonts w:ascii="Arial" w:hAnsi="Arial" w:cs="Arial"/>
          <w:color w:val="000000"/>
          <w:sz w:val="20"/>
          <w:szCs w:val="20"/>
        </w:rPr>
      </w:pPr>
      <w:r w:rsidRPr="002B59EC">
        <w:rPr>
          <w:rFonts w:ascii="Arial" w:hAnsi="Arial" w:cs="Arial"/>
          <w:color w:val="000000"/>
          <w:sz w:val="20"/>
          <w:szCs w:val="20"/>
        </w:rPr>
        <w:t>matter referring to a meeting held or to be held in connection with the election</w:t>
      </w:r>
      <w:r>
        <w:rPr>
          <w:rFonts w:ascii="Arial" w:hAnsi="Arial" w:cs="Arial"/>
          <w:color w:val="000000"/>
          <w:sz w:val="20"/>
          <w:szCs w:val="20"/>
        </w:rPr>
        <w:t xml:space="preserve">. </w:t>
      </w:r>
      <w:r w:rsidR="002B59EC" w:rsidRPr="00D0541C">
        <w:rPr>
          <w:rFonts w:cs="Arial"/>
          <w:color w:val="000000"/>
          <w:szCs w:val="20"/>
        </w:rPr>
        <w:t xml:space="preserve"> </w:t>
      </w:r>
    </w:p>
    <w:p w14:paraId="793E68F5" w14:textId="186895E4" w:rsidR="00E4040D" w:rsidRDefault="002B59EC" w:rsidP="009F2DA7">
      <w:pPr>
        <w:pStyle w:val="Heading2"/>
        <w:rPr>
          <w:shd w:val="clear" w:color="auto" w:fill="FFFFFF"/>
        </w:rPr>
      </w:pPr>
      <w:r w:rsidRPr="002B59EC" w:rsidDel="002B59EC">
        <w:rPr>
          <w:sz w:val="20"/>
          <w:szCs w:val="20"/>
        </w:rPr>
        <w:t xml:space="preserve"> </w:t>
      </w:r>
      <w:bookmarkStart w:id="29" w:name="_Toc10639013"/>
      <w:r w:rsidR="00E4040D" w:rsidRPr="002B59EC">
        <w:rPr>
          <w:shd w:val="clear" w:color="auto" w:fill="FFFFFF"/>
        </w:rPr>
        <w:t xml:space="preserve">What is an </w:t>
      </w:r>
      <w:r w:rsidR="00D0541C">
        <w:rPr>
          <w:shd w:val="clear" w:color="auto" w:fill="FFFFFF"/>
        </w:rPr>
        <w:t>‘</w:t>
      </w:r>
      <w:r w:rsidR="00E4040D" w:rsidRPr="002B59EC">
        <w:rPr>
          <w:shd w:val="clear" w:color="auto" w:fill="FFFFFF"/>
        </w:rPr>
        <w:t>election</w:t>
      </w:r>
      <w:r w:rsidR="00E4040D">
        <w:rPr>
          <w:shd w:val="clear" w:color="auto" w:fill="FFFFFF"/>
        </w:rPr>
        <w:t xml:space="preserve"> period</w:t>
      </w:r>
      <w:r w:rsidR="00D0541C">
        <w:rPr>
          <w:shd w:val="clear" w:color="auto" w:fill="FFFFFF"/>
        </w:rPr>
        <w:t>’</w:t>
      </w:r>
      <w:r w:rsidR="00E4040D">
        <w:rPr>
          <w:shd w:val="clear" w:color="auto" w:fill="FFFFFF"/>
        </w:rPr>
        <w:t>?</w:t>
      </w:r>
      <w:bookmarkEnd w:id="29"/>
    </w:p>
    <w:p w14:paraId="5D420AAC" w14:textId="447C79FB" w:rsidR="002B59EC" w:rsidRPr="002B59EC" w:rsidRDefault="00D0541C" w:rsidP="002B59EC">
      <w:pPr>
        <w:pStyle w:val="definition"/>
        <w:shd w:val="clear" w:color="auto" w:fill="FFFFFF"/>
        <w:spacing w:before="180" w:beforeAutospacing="0" w:after="0" w:afterAutospacing="0"/>
        <w:rPr>
          <w:rFonts w:ascii="Arial" w:hAnsi="Arial" w:cs="Arial"/>
          <w:color w:val="000000"/>
          <w:sz w:val="20"/>
          <w:szCs w:val="20"/>
        </w:rPr>
      </w:pPr>
      <w:r>
        <w:rPr>
          <w:rFonts w:ascii="Arial" w:hAnsi="Arial" w:cs="Arial"/>
          <w:bCs/>
          <w:iCs/>
          <w:color w:val="000000"/>
          <w:sz w:val="20"/>
          <w:szCs w:val="20"/>
        </w:rPr>
        <w:t>‘E</w:t>
      </w:r>
      <w:r w:rsidR="002B59EC" w:rsidRPr="00A56A02">
        <w:rPr>
          <w:rFonts w:ascii="Arial" w:hAnsi="Arial" w:cs="Arial"/>
          <w:bCs/>
          <w:iCs/>
          <w:color w:val="000000"/>
          <w:sz w:val="20"/>
          <w:szCs w:val="20"/>
        </w:rPr>
        <w:t>lection period</w:t>
      </w:r>
      <w:r>
        <w:rPr>
          <w:rFonts w:ascii="Arial" w:hAnsi="Arial" w:cs="Arial"/>
          <w:bCs/>
          <w:iCs/>
          <w:color w:val="000000"/>
          <w:sz w:val="20"/>
          <w:szCs w:val="20"/>
        </w:rPr>
        <w:t>’</w:t>
      </w:r>
      <w:r w:rsidR="002B59EC" w:rsidRPr="001638A2">
        <w:rPr>
          <w:rFonts w:ascii="Arial" w:hAnsi="Arial" w:cs="Arial"/>
          <w:color w:val="000000"/>
          <w:sz w:val="20"/>
          <w:szCs w:val="20"/>
        </w:rPr>
        <w:t> </w:t>
      </w:r>
      <w:r w:rsidR="002B59EC" w:rsidRPr="002B59EC">
        <w:rPr>
          <w:rFonts w:ascii="Arial" w:hAnsi="Arial" w:cs="Arial"/>
          <w:color w:val="000000"/>
          <w:sz w:val="20"/>
          <w:szCs w:val="20"/>
        </w:rPr>
        <w:t>means:</w:t>
      </w:r>
    </w:p>
    <w:p w14:paraId="34B4A36B" w14:textId="76606846" w:rsidR="00AF3988" w:rsidRDefault="002B59EC" w:rsidP="00D0541C">
      <w:pPr>
        <w:pStyle w:val="paragraph"/>
        <w:numPr>
          <w:ilvl w:val="0"/>
          <w:numId w:val="34"/>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in relation to an election to the Legislative Council of Tasmania, or an ordinary election to the Legislative Assembly for the Australian Capital Territory—the period that starts 33 days before the polling day for the election and ends at the close of the poll on that day</w:t>
      </w:r>
    </w:p>
    <w:p w14:paraId="0EACF90C" w14:textId="1D9575C0" w:rsidR="00AF3988" w:rsidRPr="00AF3988" w:rsidRDefault="00AF3988" w:rsidP="001638A2">
      <w:pPr>
        <w:pStyle w:val="paragraph"/>
        <w:numPr>
          <w:ilvl w:val="0"/>
          <w:numId w:val="34"/>
        </w:numPr>
        <w:shd w:val="clear" w:color="auto" w:fill="FFFFFF"/>
        <w:spacing w:before="40" w:beforeAutospacing="0" w:after="0" w:afterAutospacing="0"/>
        <w:rPr>
          <w:rFonts w:ascii="Arial" w:hAnsi="Arial" w:cs="Arial"/>
          <w:color w:val="000000"/>
          <w:sz w:val="20"/>
          <w:szCs w:val="20"/>
        </w:rPr>
      </w:pPr>
      <w:r w:rsidRPr="001638A2">
        <w:rPr>
          <w:rFonts w:ascii="Arial" w:hAnsi="Arial" w:cs="Arial"/>
          <w:color w:val="000000"/>
          <w:sz w:val="20"/>
          <w:szCs w:val="20"/>
        </w:rPr>
        <w:t>in relation to any oth</w:t>
      </w:r>
      <w:r w:rsidRPr="00AF3988">
        <w:rPr>
          <w:rFonts w:ascii="Arial" w:hAnsi="Arial" w:cs="Arial"/>
          <w:color w:val="000000"/>
          <w:sz w:val="20"/>
          <w:szCs w:val="20"/>
        </w:rPr>
        <w:t xml:space="preserve">er election to a </w:t>
      </w:r>
      <w:r>
        <w:rPr>
          <w:rFonts w:ascii="Arial" w:hAnsi="Arial" w:cs="Arial"/>
          <w:color w:val="000000"/>
          <w:sz w:val="20"/>
          <w:szCs w:val="20"/>
        </w:rPr>
        <w:t>p</w:t>
      </w:r>
      <w:r w:rsidRPr="001638A2">
        <w:rPr>
          <w:rFonts w:ascii="Arial" w:hAnsi="Arial" w:cs="Arial"/>
          <w:color w:val="000000"/>
          <w:sz w:val="20"/>
          <w:szCs w:val="20"/>
        </w:rPr>
        <w:t>arliame</w:t>
      </w:r>
      <w:r w:rsidRPr="00AF3988">
        <w:rPr>
          <w:rFonts w:ascii="Arial" w:hAnsi="Arial" w:cs="Arial"/>
          <w:color w:val="000000"/>
          <w:sz w:val="20"/>
          <w:szCs w:val="20"/>
        </w:rPr>
        <w:t>nt—the period that starts on:</w:t>
      </w:r>
    </w:p>
    <w:p w14:paraId="1CDF8092" w14:textId="408BA0C9" w:rsidR="00AF3988" w:rsidRDefault="00AF3988" w:rsidP="00AF3988">
      <w:pPr>
        <w:pStyle w:val="paragraphsub"/>
        <w:numPr>
          <w:ilvl w:val="0"/>
          <w:numId w:val="36"/>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the day on which the proposed polling day for the election is publicly announced</w:t>
      </w:r>
    </w:p>
    <w:p w14:paraId="245E4E94" w14:textId="6CE5C3F7" w:rsidR="00AF3988" w:rsidRPr="00945F21" w:rsidRDefault="00AF3988" w:rsidP="00A56A02">
      <w:pPr>
        <w:pStyle w:val="paragraphsub"/>
        <w:numPr>
          <w:ilvl w:val="0"/>
          <w:numId w:val="36"/>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the day on which the writs for the election are issued</w:t>
      </w:r>
      <w:r w:rsidR="00945F21">
        <w:rPr>
          <w:rFonts w:ascii="Arial" w:hAnsi="Arial" w:cs="Arial"/>
          <w:color w:val="000000"/>
          <w:sz w:val="20"/>
          <w:szCs w:val="20"/>
        </w:rPr>
        <w:t xml:space="preserve"> (</w:t>
      </w:r>
      <w:r w:rsidRPr="001638A2">
        <w:rPr>
          <w:rFonts w:ascii="Arial" w:hAnsi="Arial" w:cs="Arial"/>
          <w:color w:val="000000"/>
          <w:sz w:val="20"/>
          <w:szCs w:val="20"/>
        </w:rPr>
        <w:t>whichever happens first</w:t>
      </w:r>
      <w:r w:rsidRPr="00945F21">
        <w:rPr>
          <w:rFonts w:ascii="Arial" w:hAnsi="Arial" w:cs="Arial"/>
          <w:color w:val="000000"/>
          <w:sz w:val="20"/>
          <w:szCs w:val="20"/>
        </w:rPr>
        <w:t xml:space="preserve"> and ends at the close of the poll on the polling day for the election</w:t>
      </w:r>
      <w:r w:rsidR="00945F21">
        <w:rPr>
          <w:rFonts w:ascii="Arial" w:hAnsi="Arial" w:cs="Arial"/>
          <w:color w:val="000000"/>
          <w:sz w:val="20"/>
          <w:szCs w:val="20"/>
        </w:rPr>
        <w:t>)</w:t>
      </w:r>
      <w:r w:rsidRPr="001638A2">
        <w:rPr>
          <w:rFonts w:ascii="Arial" w:hAnsi="Arial" w:cs="Arial"/>
          <w:color w:val="000000"/>
          <w:sz w:val="20"/>
          <w:szCs w:val="20"/>
        </w:rPr>
        <w:t>.</w:t>
      </w:r>
    </w:p>
    <w:p w14:paraId="067AFD75" w14:textId="0A2B33AD" w:rsidR="00AF3988" w:rsidRDefault="002B59EC" w:rsidP="00AF3988">
      <w:pPr>
        <w:pStyle w:val="paragraph"/>
        <w:numPr>
          <w:ilvl w:val="0"/>
          <w:numId w:val="34"/>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in relation to an election to a local government authority—the period that starts 33 days before the polling day for the election and ends at the close of the poll on that day</w:t>
      </w:r>
    </w:p>
    <w:p w14:paraId="1E7A5E8E" w14:textId="366A3B08" w:rsidR="002B59EC" w:rsidRDefault="00AF3988" w:rsidP="00AF3988">
      <w:pPr>
        <w:pStyle w:val="paragraph"/>
        <w:numPr>
          <w:ilvl w:val="0"/>
          <w:numId w:val="34"/>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in relation to a referendum whose voting day is the same as the polling day for an election to the Parliament of the Commonwealth—the election period in relation to that election</w:t>
      </w:r>
    </w:p>
    <w:p w14:paraId="412F9057" w14:textId="77777777" w:rsidR="00AF3988" w:rsidRPr="002B59EC" w:rsidRDefault="00AF3988" w:rsidP="00AF3988">
      <w:pPr>
        <w:pStyle w:val="paragraph"/>
        <w:numPr>
          <w:ilvl w:val="0"/>
          <w:numId w:val="34"/>
        </w:numPr>
        <w:shd w:val="clear" w:color="auto" w:fill="FFFFFF"/>
        <w:spacing w:before="40" w:beforeAutospacing="0" w:after="0" w:afterAutospacing="0"/>
        <w:rPr>
          <w:rFonts w:ascii="Arial" w:hAnsi="Arial" w:cs="Arial"/>
          <w:color w:val="000000"/>
          <w:sz w:val="20"/>
          <w:szCs w:val="20"/>
        </w:rPr>
      </w:pPr>
      <w:r w:rsidRPr="002B59EC">
        <w:rPr>
          <w:rFonts w:ascii="Arial" w:hAnsi="Arial" w:cs="Arial"/>
          <w:color w:val="000000"/>
          <w:sz w:val="20"/>
          <w:szCs w:val="20"/>
        </w:rPr>
        <w:t>in relation to any other referendum—the period that starts 33 days before the voting day for the referendum and ends at the close of voting on that day.</w:t>
      </w:r>
    </w:p>
    <w:p w14:paraId="0657AD2E" w14:textId="0BBD53A4" w:rsidR="008C2465" w:rsidRDefault="007B48A0" w:rsidP="009F2DA7">
      <w:pPr>
        <w:pStyle w:val="Heading2"/>
        <w:rPr>
          <w:shd w:val="clear" w:color="auto" w:fill="FFFFFF"/>
        </w:rPr>
      </w:pPr>
      <w:bookmarkStart w:id="30" w:name="_Toc10639014"/>
      <w:r>
        <w:rPr>
          <w:shd w:val="clear" w:color="auto" w:fill="FFFFFF"/>
        </w:rPr>
        <w:t>Reasonable o</w:t>
      </w:r>
      <w:r w:rsidR="00B076B3">
        <w:rPr>
          <w:shd w:val="clear" w:color="auto" w:fill="FFFFFF"/>
        </w:rPr>
        <w:t xml:space="preserve">pportunities </w:t>
      </w:r>
      <w:r w:rsidR="009F2DA7">
        <w:rPr>
          <w:shd w:val="clear" w:color="auto" w:fill="FFFFFF"/>
        </w:rPr>
        <w:t>to participants in elections</w:t>
      </w:r>
      <w:bookmarkEnd w:id="30"/>
    </w:p>
    <w:p w14:paraId="48A750CC" w14:textId="5A6FA06C" w:rsidR="00CF2C17" w:rsidRPr="00E22B2A" w:rsidRDefault="00CF2C17" w:rsidP="00CF2C17">
      <w:pPr>
        <w:spacing w:after="160" w:line="259" w:lineRule="auto"/>
        <w:rPr>
          <w:rFonts w:cs="Arial"/>
          <w:szCs w:val="20"/>
        </w:rPr>
      </w:pPr>
      <w:r w:rsidRPr="00E22B2A">
        <w:rPr>
          <w:rFonts w:cs="Arial"/>
          <w:szCs w:val="20"/>
        </w:rPr>
        <w:t xml:space="preserve">Licensees are not obliged to broadcast election matter at all. However, if they do, </w:t>
      </w:r>
      <w:r w:rsidR="004009D7">
        <w:rPr>
          <w:rFonts w:cs="Arial"/>
          <w:szCs w:val="20"/>
        </w:rPr>
        <w:t>certain obligations arise</w:t>
      </w:r>
      <w:r w:rsidRPr="00E22B2A">
        <w:rPr>
          <w:rFonts w:cs="Arial"/>
          <w:szCs w:val="20"/>
        </w:rPr>
        <w:t>.</w:t>
      </w:r>
    </w:p>
    <w:p w14:paraId="65FC2210" w14:textId="6C088A51" w:rsidR="008A1F2B" w:rsidRDefault="005E56F5" w:rsidP="008A1F2B">
      <w:r>
        <w:t>If, during an election period</w:t>
      </w:r>
      <w:r w:rsidR="006C7623">
        <w:t xml:space="preserve"> </w:t>
      </w:r>
      <w:r w:rsidR="00196EA3">
        <w:t>a broadcaster broadcasts election matter, the broadcaster must give reasonable opportunities</w:t>
      </w:r>
      <w:r w:rsidR="00671263">
        <w:t xml:space="preserve"> for broadcasting election matter to all political parties contesting the election, being parties which were represented </w:t>
      </w:r>
      <w:r w:rsidR="00183BD0">
        <w:t xml:space="preserve">in either House of the Parliament for which the election is to be held at the time of </w:t>
      </w:r>
      <w:r w:rsidR="00807F21">
        <w:t>its</w:t>
      </w:r>
      <w:r w:rsidR="00183BD0">
        <w:t xml:space="preserve"> last </w:t>
      </w:r>
      <w:r w:rsidR="00807F21">
        <w:t>meeting before the election period.</w:t>
      </w:r>
    </w:p>
    <w:p w14:paraId="40CDA2A3" w14:textId="5E129481" w:rsidR="00D744ED" w:rsidRDefault="0052014F" w:rsidP="008A1F2B">
      <w:pPr>
        <w:rPr>
          <w:rFonts w:cs="Arial"/>
          <w:szCs w:val="20"/>
        </w:rPr>
      </w:pPr>
      <w:r w:rsidRPr="00E22B2A">
        <w:rPr>
          <w:rFonts w:cs="Arial"/>
          <w:szCs w:val="20"/>
        </w:rPr>
        <w:t xml:space="preserve">There is no obligation for licensees to </w:t>
      </w:r>
      <w:r w:rsidR="00CA745B">
        <w:rPr>
          <w:rFonts w:cs="Arial"/>
          <w:szCs w:val="20"/>
        </w:rPr>
        <w:t xml:space="preserve">broadcast </w:t>
      </w:r>
      <w:r w:rsidR="00CF2C17">
        <w:rPr>
          <w:rFonts w:cs="Arial"/>
          <w:szCs w:val="20"/>
        </w:rPr>
        <w:t xml:space="preserve">any </w:t>
      </w:r>
      <w:r w:rsidR="00CA745B">
        <w:rPr>
          <w:rFonts w:cs="Arial"/>
          <w:szCs w:val="20"/>
        </w:rPr>
        <w:t xml:space="preserve">election matter </w:t>
      </w:r>
      <w:r w:rsidRPr="00E22B2A">
        <w:rPr>
          <w:rFonts w:cs="Arial"/>
          <w:szCs w:val="20"/>
        </w:rPr>
        <w:t>free of charge.</w:t>
      </w:r>
    </w:p>
    <w:p w14:paraId="09D7FEC5" w14:textId="66C099D7" w:rsidR="006B5A45" w:rsidRDefault="00482A68" w:rsidP="008A1F2B">
      <w:r>
        <w:rPr>
          <w:rFonts w:cs="Arial"/>
          <w:szCs w:val="20"/>
        </w:rPr>
        <w:lastRenderedPageBreak/>
        <w:t>Whether o</w:t>
      </w:r>
      <w:r w:rsidR="006B5A45">
        <w:rPr>
          <w:rFonts w:cs="Arial"/>
          <w:szCs w:val="20"/>
        </w:rPr>
        <w:t>pportunities</w:t>
      </w:r>
      <w:r w:rsidR="00330CDC">
        <w:rPr>
          <w:rFonts w:cs="Arial"/>
          <w:szCs w:val="20"/>
        </w:rPr>
        <w:t xml:space="preserve"> </w:t>
      </w:r>
      <w:r w:rsidR="00890DF6">
        <w:rPr>
          <w:rFonts w:cs="Arial"/>
          <w:szCs w:val="20"/>
        </w:rPr>
        <w:t xml:space="preserve">were </w:t>
      </w:r>
      <w:r w:rsidR="004F1672">
        <w:rPr>
          <w:rFonts w:cs="Arial"/>
          <w:szCs w:val="20"/>
        </w:rPr>
        <w:t>considered</w:t>
      </w:r>
      <w:r w:rsidR="00330CDC">
        <w:rPr>
          <w:rFonts w:cs="Arial"/>
          <w:szCs w:val="20"/>
        </w:rPr>
        <w:t xml:space="preserve"> </w:t>
      </w:r>
      <w:r w:rsidR="00890DF6">
        <w:rPr>
          <w:rFonts w:cs="Arial"/>
          <w:szCs w:val="20"/>
        </w:rPr>
        <w:t xml:space="preserve">to be </w:t>
      </w:r>
      <w:r w:rsidR="006B5A45">
        <w:rPr>
          <w:rFonts w:cs="Arial"/>
          <w:szCs w:val="20"/>
        </w:rPr>
        <w:t xml:space="preserve">‘reasonable’ </w:t>
      </w:r>
      <w:r w:rsidR="00330CDC">
        <w:rPr>
          <w:rFonts w:cs="Arial"/>
          <w:szCs w:val="20"/>
        </w:rPr>
        <w:t xml:space="preserve">would be </w:t>
      </w:r>
      <w:r w:rsidR="004F1672">
        <w:rPr>
          <w:rFonts w:cs="Arial"/>
          <w:szCs w:val="20"/>
        </w:rPr>
        <w:t xml:space="preserve">established </w:t>
      </w:r>
      <w:r w:rsidR="003570F9">
        <w:rPr>
          <w:rFonts w:cs="Arial"/>
          <w:szCs w:val="20"/>
        </w:rPr>
        <w:t xml:space="preserve">during </w:t>
      </w:r>
      <w:r w:rsidR="00AA0FA2">
        <w:rPr>
          <w:rFonts w:cs="Arial"/>
          <w:szCs w:val="20"/>
        </w:rPr>
        <w:t xml:space="preserve">an </w:t>
      </w:r>
      <w:r w:rsidR="00F20F10">
        <w:rPr>
          <w:rFonts w:cs="Arial"/>
          <w:szCs w:val="20"/>
        </w:rPr>
        <w:t>investigation</w:t>
      </w:r>
      <w:r w:rsidR="000E707A">
        <w:rPr>
          <w:rFonts w:cs="Arial"/>
          <w:szCs w:val="20"/>
        </w:rPr>
        <w:t xml:space="preserve"> if the ACMA </w:t>
      </w:r>
      <w:r w:rsidR="007A62BF">
        <w:rPr>
          <w:rFonts w:cs="Arial"/>
          <w:szCs w:val="20"/>
        </w:rPr>
        <w:t>were to investigate a matter</w:t>
      </w:r>
      <w:r w:rsidR="006E4324">
        <w:rPr>
          <w:rFonts w:cs="Arial"/>
          <w:szCs w:val="20"/>
        </w:rPr>
        <w:t xml:space="preserve"> </w:t>
      </w:r>
      <w:r w:rsidR="00405F92">
        <w:rPr>
          <w:rFonts w:cs="Arial"/>
          <w:szCs w:val="20"/>
        </w:rPr>
        <w:t>that required this issue to be considered.</w:t>
      </w:r>
      <w:r w:rsidR="00F20F10">
        <w:rPr>
          <w:rFonts w:cs="Arial"/>
          <w:szCs w:val="20"/>
        </w:rPr>
        <w:t xml:space="preserve"> </w:t>
      </w:r>
    </w:p>
    <w:p w14:paraId="522B8E78" w14:textId="77777777" w:rsidR="00FB097D" w:rsidRPr="00E22B2A" w:rsidRDefault="00FB097D" w:rsidP="002D7C25">
      <w:pPr>
        <w:pStyle w:val="Heading2"/>
      </w:pPr>
      <w:bookmarkStart w:id="31" w:name="_Toc10639015"/>
      <w:r w:rsidRPr="00E22B2A">
        <w:t>Election ‘blackouts’</w:t>
      </w:r>
      <w:bookmarkEnd w:id="31"/>
    </w:p>
    <w:p w14:paraId="6C0582E2" w14:textId="0EDAEE52" w:rsidR="00FB097D" w:rsidRPr="00E22B2A" w:rsidRDefault="00FB097D" w:rsidP="002D7C25">
      <w:pPr>
        <w:spacing w:after="160" w:line="259" w:lineRule="auto"/>
        <w:rPr>
          <w:rFonts w:cs="Arial"/>
          <w:szCs w:val="20"/>
        </w:rPr>
      </w:pPr>
      <w:r>
        <w:rPr>
          <w:rFonts w:cs="Arial"/>
          <w:szCs w:val="20"/>
        </w:rPr>
        <w:t>Elections blackouts are actually c</w:t>
      </w:r>
      <w:r w:rsidRPr="00E22B2A">
        <w:rPr>
          <w:rFonts w:cs="Arial"/>
          <w:szCs w:val="20"/>
        </w:rPr>
        <w:t>alled the ‘relevant period’</w:t>
      </w:r>
      <w:r w:rsidR="00A65770">
        <w:rPr>
          <w:rFonts w:cs="Arial"/>
          <w:szCs w:val="20"/>
        </w:rPr>
        <w:t xml:space="preserve">. This period </w:t>
      </w:r>
      <w:r w:rsidRPr="00E22B2A">
        <w:rPr>
          <w:rFonts w:cs="Arial"/>
          <w:szCs w:val="20"/>
        </w:rPr>
        <w:t>commences at midnight on the Thursday morning before polling day and concludes at the close of the poll</w:t>
      </w:r>
      <w:r w:rsidR="00336476">
        <w:rPr>
          <w:rFonts w:cs="Arial"/>
          <w:szCs w:val="20"/>
        </w:rPr>
        <w:t xml:space="preserve"> (i.e. voting)</w:t>
      </w:r>
      <w:r w:rsidRPr="00E22B2A">
        <w:rPr>
          <w:rFonts w:cs="Arial"/>
          <w:szCs w:val="20"/>
        </w:rPr>
        <w:t xml:space="preserve"> on polling day.</w:t>
      </w:r>
    </w:p>
    <w:p w14:paraId="2A7B0A85" w14:textId="325A53A7" w:rsidR="00FB097D" w:rsidRPr="007B58C4" w:rsidRDefault="00A65770" w:rsidP="002D7C25">
      <w:pPr>
        <w:rPr>
          <w:rFonts w:cs="Arial"/>
          <w:szCs w:val="20"/>
        </w:rPr>
      </w:pPr>
      <w:r>
        <w:rPr>
          <w:rFonts w:cs="Arial"/>
          <w:szCs w:val="20"/>
        </w:rPr>
        <w:t>Election blackouts o</w:t>
      </w:r>
      <w:r w:rsidR="00FB097D" w:rsidRPr="007B58C4">
        <w:rPr>
          <w:rFonts w:cs="Arial"/>
          <w:szCs w:val="20"/>
        </w:rPr>
        <w:t>nly appl</w:t>
      </w:r>
      <w:r>
        <w:rPr>
          <w:rFonts w:cs="Arial"/>
          <w:szCs w:val="20"/>
        </w:rPr>
        <w:t>y</w:t>
      </w:r>
      <w:r w:rsidR="00FB097D" w:rsidRPr="007B58C4">
        <w:rPr>
          <w:rFonts w:cs="Arial"/>
          <w:szCs w:val="20"/>
        </w:rPr>
        <w:t xml:space="preserve"> to parliamentary elections</w:t>
      </w:r>
      <w:r w:rsidR="009C07DA">
        <w:rPr>
          <w:rFonts w:cs="Arial"/>
          <w:szCs w:val="20"/>
        </w:rPr>
        <w:t>—t</w:t>
      </w:r>
      <w:r>
        <w:rPr>
          <w:rFonts w:cs="Arial"/>
          <w:szCs w:val="20"/>
        </w:rPr>
        <w:t xml:space="preserve">hat is, </w:t>
      </w:r>
      <w:r w:rsidR="009C07DA">
        <w:rPr>
          <w:rFonts w:cs="Arial"/>
          <w:szCs w:val="20"/>
        </w:rPr>
        <w:t>f</w:t>
      </w:r>
      <w:r w:rsidR="00FB097D" w:rsidRPr="007B58C4">
        <w:rPr>
          <w:rFonts w:cs="Arial"/>
          <w:szCs w:val="20"/>
        </w:rPr>
        <w:t xml:space="preserve">ederal and </w:t>
      </w:r>
      <w:r w:rsidR="009C07DA">
        <w:rPr>
          <w:rFonts w:cs="Arial"/>
          <w:szCs w:val="20"/>
        </w:rPr>
        <w:t>s</w:t>
      </w:r>
      <w:r w:rsidR="00FB097D" w:rsidRPr="007B58C4">
        <w:rPr>
          <w:rFonts w:cs="Arial"/>
          <w:szCs w:val="20"/>
        </w:rPr>
        <w:t>tat</w:t>
      </w:r>
      <w:r>
        <w:rPr>
          <w:rFonts w:cs="Arial"/>
          <w:szCs w:val="20"/>
        </w:rPr>
        <w:t xml:space="preserve">e or </w:t>
      </w:r>
      <w:r w:rsidR="009C07DA">
        <w:rPr>
          <w:rFonts w:cs="Arial"/>
          <w:szCs w:val="20"/>
        </w:rPr>
        <w:t>t</w:t>
      </w:r>
      <w:r w:rsidR="00FB097D" w:rsidRPr="007B58C4">
        <w:rPr>
          <w:rFonts w:cs="Arial"/>
          <w:szCs w:val="20"/>
        </w:rPr>
        <w:t>erritory</w:t>
      </w:r>
      <w:r>
        <w:rPr>
          <w:rFonts w:cs="Arial"/>
          <w:szCs w:val="20"/>
        </w:rPr>
        <w:t xml:space="preserve"> elections</w:t>
      </w:r>
      <w:r w:rsidR="00355CA0">
        <w:rPr>
          <w:rFonts w:cs="Arial"/>
          <w:szCs w:val="20"/>
        </w:rPr>
        <w:t xml:space="preserve">. There is no blackout period for </w:t>
      </w:r>
      <w:r w:rsidR="00FB097D" w:rsidRPr="007B58C4">
        <w:rPr>
          <w:rFonts w:cs="Arial"/>
          <w:szCs w:val="20"/>
        </w:rPr>
        <w:t>local government</w:t>
      </w:r>
      <w:r w:rsidR="00355CA0">
        <w:rPr>
          <w:rFonts w:cs="Arial"/>
          <w:szCs w:val="20"/>
        </w:rPr>
        <w:t xml:space="preserve"> elections</w:t>
      </w:r>
      <w:r w:rsidR="00FB097D" w:rsidRPr="007B58C4">
        <w:rPr>
          <w:rFonts w:cs="Arial"/>
          <w:szCs w:val="20"/>
        </w:rPr>
        <w:t>.</w:t>
      </w:r>
    </w:p>
    <w:p w14:paraId="4D4F51E1" w14:textId="4E480329" w:rsidR="00FB097D" w:rsidRPr="00C06489" w:rsidRDefault="00146D0F" w:rsidP="002D7C25">
      <w:pPr>
        <w:rPr>
          <w:rFonts w:cs="Arial"/>
          <w:szCs w:val="20"/>
        </w:rPr>
      </w:pPr>
      <w:r>
        <w:rPr>
          <w:rFonts w:cs="Arial"/>
          <w:szCs w:val="20"/>
        </w:rPr>
        <w:t xml:space="preserve">For </w:t>
      </w:r>
      <w:r w:rsidR="009C07DA">
        <w:rPr>
          <w:rFonts w:cs="Arial"/>
          <w:szCs w:val="20"/>
        </w:rPr>
        <w:t>f</w:t>
      </w:r>
      <w:r w:rsidR="00FD0A9C">
        <w:rPr>
          <w:rFonts w:cs="Arial"/>
          <w:szCs w:val="20"/>
        </w:rPr>
        <w:t>ederal elections, t</w:t>
      </w:r>
      <w:r w:rsidR="00FB097D" w:rsidRPr="003E3272">
        <w:rPr>
          <w:rFonts w:cs="Arial"/>
          <w:szCs w:val="20"/>
        </w:rPr>
        <w:t>he ACMA updates its website information about current election blackouts shortly after election dates have been publicised by the AEC. The website is not updated for state and territory by-elections.</w:t>
      </w:r>
    </w:p>
    <w:p w14:paraId="0883C543" w14:textId="77777777" w:rsidR="001D47B1" w:rsidRDefault="001D47B1">
      <w:pPr>
        <w:spacing w:after="0" w:line="240" w:lineRule="auto"/>
        <w:rPr>
          <w:rFonts w:cs="Arial"/>
          <w:b/>
          <w:sz w:val="28"/>
          <w:szCs w:val="28"/>
        </w:rPr>
      </w:pPr>
      <w:r>
        <w:rPr>
          <w:rFonts w:cs="Arial"/>
          <w:b/>
          <w:sz w:val="28"/>
          <w:szCs w:val="28"/>
        </w:rPr>
        <w:br w:type="page"/>
      </w:r>
    </w:p>
    <w:p w14:paraId="423357CF" w14:textId="77777777" w:rsidR="001D47B1" w:rsidRDefault="001D47B1" w:rsidP="001D47B1">
      <w:pPr>
        <w:pStyle w:val="Heading1"/>
      </w:pPr>
      <w:bookmarkStart w:id="32" w:name="_Toc10639016"/>
      <w:r>
        <w:lastRenderedPageBreak/>
        <w:t>Appendix</w:t>
      </w:r>
      <w:bookmarkEnd w:id="32"/>
    </w:p>
    <w:p w14:paraId="46BC6A14" w14:textId="77777777" w:rsidR="001D47B1" w:rsidRPr="00DB1AA8" w:rsidRDefault="001D47B1" w:rsidP="001D47B1">
      <w:pPr>
        <w:pStyle w:val="Heading2"/>
      </w:pPr>
      <w:bookmarkStart w:id="33" w:name="_Case_study_1"/>
      <w:bookmarkStart w:id="34" w:name="_Toc10639017"/>
      <w:bookmarkEnd w:id="33"/>
      <w:r w:rsidRPr="000606EE">
        <w:t>Case stud</w:t>
      </w:r>
      <w:r>
        <w:t>y 1</w:t>
      </w:r>
      <w:bookmarkEnd w:id="34"/>
    </w:p>
    <w:p w14:paraId="453E5EDA" w14:textId="0C883371" w:rsidR="001D47B1" w:rsidRDefault="001D47B1" w:rsidP="00F43C7A">
      <w:pPr>
        <w:pStyle w:val="Heading3"/>
      </w:pPr>
      <w:bookmarkStart w:id="35" w:name="_Toc5863397"/>
      <w:bookmarkStart w:id="36" w:name="_Toc5963141"/>
      <w:bookmarkStart w:id="37" w:name="_Toc10639018"/>
      <w:r w:rsidRPr="00321AF8">
        <w:t>Breach</w:t>
      </w:r>
      <w:r w:rsidR="007755E6">
        <w:t>—</w:t>
      </w:r>
      <w:r>
        <w:t xml:space="preserve">licensee did not </w:t>
      </w:r>
      <w:r w:rsidR="007755E6">
        <w:t xml:space="preserve">announce </w:t>
      </w:r>
      <w:r>
        <w:t>the required particulars immediately after the broadcast of political matter</w:t>
      </w:r>
      <w:r w:rsidR="00CE61A0">
        <w:t>.</w:t>
      </w:r>
      <w:bookmarkEnd w:id="35"/>
      <w:bookmarkEnd w:id="36"/>
      <w:bookmarkEnd w:id="37"/>
      <w:r w:rsidR="00CE61A0">
        <w:t xml:space="preserve"> </w:t>
      </w:r>
      <w:r>
        <w:t xml:space="preserve"> </w:t>
      </w:r>
    </w:p>
    <w:p w14:paraId="04C9A605" w14:textId="77777777" w:rsidR="001D47B1" w:rsidRPr="00427FF4" w:rsidRDefault="001D47B1">
      <w:pPr>
        <w:pStyle w:val="BodySubHeader"/>
      </w:pPr>
      <w:r w:rsidRPr="00427FF4">
        <w:t xml:space="preserve">The </w:t>
      </w:r>
      <w:r w:rsidRPr="009E163D">
        <w:t>broadcast</w:t>
      </w:r>
      <w:r w:rsidRPr="00427FF4">
        <w:t xml:space="preserve"> material</w:t>
      </w:r>
    </w:p>
    <w:p w14:paraId="46F2B29B" w14:textId="77777777" w:rsidR="001D47B1" w:rsidRDefault="001D47B1" w:rsidP="001D47B1">
      <w:pPr>
        <w:rPr>
          <w:rFonts w:cs="Arial"/>
          <w:szCs w:val="20"/>
        </w:rPr>
      </w:pPr>
      <w:r w:rsidRPr="00517129">
        <w:rPr>
          <w:rFonts w:cs="Arial"/>
          <w:szCs w:val="20"/>
        </w:rPr>
        <w:t>The advertisement feature</w:t>
      </w:r>
      <w:r>
        <w:rPr>
          <w:rFonts w:cs="Arial"/>
          <w:szCs w:val="20"/>
        </w:rPr>
        <w:t>d</w:t>
      </w:r>
      <w:r w:rsidRPr="00517129">
        <w:rPr>
          <w:rFonts w:cs="Arial"/>
          <w:szCs w:val="20"/>
        </w:rPr>
        <w:t xml:space="preserve"> a man wearing ‘hi-vis’ work attire. He </w:t>
      </w:r>
      <w:r>
        <w:rPr>
          <w:rFonts w:cs="Arial"/>
          <w:szCs w:val="20"/>
        </w:rPr>
        <w:t>wa</w:t>
      </w:r>
      <w:r w:rsidRPr="00517129">
        <w:rPr>
          <w:rFonts w:cs="Arial"/>
          <w:szCs w:val="20"/>
        </w:rPr>
        <w:t>s sitting in his utility vehicle and speaking directly to the camera as he recall</w:t>
      </w:r>
      <w:r>
        <w:rPr>
          <w:rFonts w:cs="Arial"/>
          <w:szCs w:val="20"/>
        </w:rPr>
        <w:t>ed</w:t>
      </w:r>
      <w:r w:rsidRPr="00517129">
        <w:rPr>
          <w:rFonts w:cs="Arial"/>
          <w:szCs w:val="20"/>
        </w:rPr>
        <w:t xml:space="preserve"> the circumstances of his wife’s first pregnancy and sa</w:t>
      </w:r>
      <w:r>
        <w:rPr>
          <w:rFonts w:cs="Arial"/>
          <w:szCs w:val="20"/>
        </w:rPr>
        <w:t>id</w:t>
      </w:r>
      <w:r w:rsidRPr="00517129">
        <w:rPr>
          <w:rFonts w:cs="Arial"/>
          <w:szCs w:val="20"/>
        </w:rPr>
        <w:t>, ‘I can remember thinking, how are we going to cope?’ He exit</w:t>
      </w:r>
      <w:r>
        <w:rPr>
          <w:rFonts w:cs="Arial"/>
          <w:szCs w:val="20"/>
        </w:rPr>
        <w:t>ed</w:t>
      </w:r>
      <w:r w:rsidRPr="00517129">
        <w:rPr>
          <w:rFonts w:cs="Arial"/>
          <w:szCs w:val="20"/>
        </w:rPr>
        <w:t xml:space="preserve"> the vehicle and enter</w:t>
      </w:r>
      <w:r>
        <w:rPr>
          <w:rFonts w:cs="Arial"/>
          <w:szCs w:val="20"/>
        </w:rPr>
        <w:t>ed</w:t>
      </w:r>
      <w:r w:rsidRPr="00517129">
        <w:rPr>
          <w:rFonts w:cs="Arial"/>
          <w:szCs w:val="20"/>
        </w:rPr>
        <w:t xml:space="preserve"> his family home. </w:t>
      </w:r>
    </w:p>
    <w:p w14:paraId="67BAC544" w14:textId="65172928" w:rsidR="001D47B1" w:rsidRPr="00862EA6" w:rsidRDefault="001D47B1" w:rsidP="001D47B1">
      <w:pPr>
        <w:rPr>
          <w:rFonts w:cs="Arial"/>
          <w:szCs w:val="20"/>
        </w:rPr>
      </w:pPr>
      <w:r w:rsidRPr="00862EA6">
        <w:rPr>
          <w:rFonts w:cs="Arial"/>
          <w:szCs w:val="20"/>
        </w:rPr>
        <w:t>The advertisement continue</w:t>
      </w:r>
      <w:r>
        <w:rPr>
          <w:rFonts w:cs="Arial"/>
          <w:szCs w:val="20"/>
        </w:rPr>
        <w:t>d</w:t>
      </w:r>
      <w:r w:rsidRPr="00862EA6">
        <w:rPr>
          <w:rFonts w:cs="Arial"/>
          <w:szCs w:val="20"/>
        </w:rPr>
        <w:t xml:space="preserve"> with the man and his seven children in the family kitchen/living room. As he h</w:t>
      </w:r>
      <w:r>
        <w:rPr>
          <w:rFonts w:cs="Arial"/>
          <w:szCs w:val="20"/>
        </w:rPr>
        <w:t>eld</w:t>
      </w:r>
      <w:r w:rsidRPr="00862EA6">
        <w:rPr>
          <w:rFonts w:cs="Arial"/>
          <w:szCs w:val="20"/>
        </w:rPr>
        <w:t xml:space="preserve"> a newborn baby, the man sa</w:t>
      </w:r>
      <w:r>
        <w:rPr>
          <w:rFonts w:cs="Arial"/>
          <w:szCs w:val="20"/>
        </w:rPr>
        <w:t>id</w:t>
      </w:r>
      <w:r w:rsidRPr="00862EA6">
        <w:rPr>
          <w:rFonts w:cs="Arial"/>
          <w:szCs w:val="20"/>
        </w:rPr>
        <w:t>, ‘I reckon, I’ve coped just fine’. At the same time, the words</w:t>
      </w:r>
      <w:r w:rsidR="00CE61A0">
        <w:rPr>
          <w:rFonts w:cs="Arial"/>
          <w:szCs w:val="20"/>
        </w:rPr>
        <w:t>,</w:t>
      </w:r>
      <w:r w:rsidRPr="00862EA6">
        <w:rPr>
          <w:rFonts w:cs="Arial"/>
          <w:szCs w:val="20"/>
        </w:rPr>
        <w:t xml:space="preserve"> ‘I coped … you can too’ appear</w:t>
      </w:r>
      <w:r>
        <w:rPr>
          <w:rFonts w:cs="Arial"/>
          <w:szCs w:val="20"/>
        </w:rPr>
        <w:t>ed</w:t>
      </w:r>
      <w:r w:rsidRPr="00862EA6">
        <w:rPr>
          <w:rFonts w:cs="Arial"/>
          <w:szCs w:val="20"/>
        </w:rPr>
        <w:t xml:space="preserve"> as on-screen text.</w:t>
      </w:r>
    </w:p>
    <w:p w14:paraId="032E9D32" w14:textId="77777777" w:rsidR="001D47B1" w:rsidRDefault="001D47B1" w:rsidP="001D47B1">
      <w:pPr>
        <w:rPr>
          <w:rFonts w:cs="Arial"/>
          <w:szCs w:val="20"/>
        </w:rPr>
      </w:pPr>
      <w:r w:rsidRPr="00862EA6">
        <w:rPr>
          <w:rFonts w:cs="Arial"/>
          <w:szCs w:val="20"/>
        </w:rPr>
        <w:t>The advertisement conclude</w:t>
      </w:r>
      <w:r>
        <w:rPr>
          <w:rFonts w:cs="Arial"/>
          <w:szCs w:val="20"/>
        </w:rPr>
        <w:t>d</w:t>
      </w:r>
      <w:r w:rsidRPr="00862EA6">
        <w:rPr>
          <w:rFonts w:cs="Arial"/>
          <w:szCs w:val="20"/>
        </w:rPr>
        <w:t xml:space="preserve"> with the man standing in a kitchen, surrounded by his family as they each h</w:t>
      </w:r>
      <w:r>
        <w:rPr>
          <w:rFonts w:cs="Arial"/>
          <w:szCs w:val="20"/>
        </w:rPr>
        <w:t>e</w:t>
      </w:r>
      <w:r w:rsidRPr="00862EA6">
        <w:rPr>
          <w:rFonts w:cs="Arial"/>
          <w:szCs w:val="20"/>
        </w:rPr>
        <w:t>ld up what appear</w:t>
      </w:r>
      <w:r>
        <w:rPr>
          <w:rFonts w:cs="Arial"/>
          <w:szCs w:val="20"/>
        </w:rPr>
        <w:t>ed</w:t>
      </w:r>
      <w:r w:rsidRPr="00862EA6">
        <w:rPr>
          <w:rFonts w:cs="Arial"/>
          <w:szCs w:val="20"/>
        </w:rPr>
        <w:t xml:space="preserve"> to be ultrasound images of human foetuses. The man t</w:t>
      </w:r>
      <w:r>
        <w:rPr>
          <w:rFonts w:cs="Arial"/>
          <w:szCs w:val="20"/>
        </w:rPr>
        <w:t>hen told</w:t>
      </w:r>
      <w:r w:rsidRPr="00862EA6">
        <w:rPr>
          <w:rFonts w:cs="Arial"/>
          <w:szCs w:val="20"/>
        </w:rPr>
        <w:t xml:space="preserve"> viewers to ‘visit notbornyet.com’. </w:t>
      </w:r>
      <w:r w:rsidRPr="00CE3356">
        <w:rPr>
          <w:rFonts w:cs="Arial"/>
          <w:szCs w:val="20"/>
        </w:rPr>
        <w:t>The Emily’s Voice logo</w:t>
      </w:r>
      <w:r w:rsidRPr="00862EA6">
        <w:rPr>
          <w:rFonts w:cs="Arial"/>
          <w:szCs w:val="20"/>
        </w:rPr>
        <w:t xml:space="preserve"> and the text ‘</w:t>
      </w:r>
      <w:r w:rsidRPr="00CE3356">
        <w:rPr>
          <w:rFonts w:cs="Arial"/>
          <w:szCs w:val="20"/>
        </w:rPr>
        <w:t>notbornyet.com</w:t>
      </w:r>
      <w:r w:rsidRPr="00862EA6">
        <w:rPr>
          <w:rFonts w:cs="Arial"/>
          <w:szCs w:val="20"/>
        </w:rPr>
        <w:t xml:space="preserve">’ </w:t>
      </w:r>
      <w:r>
        <w:rPr>
          <w:rFonts w:cs="Arial"/>
          <w:szCs w:val="20"/>
        </w:rPr>
        <w:t>we</w:t>
      </w:r>
      <w:r w:rsidRPr="00862EA6">
        <w:rPr>
          <w:rFonts w:cs="Arial"/>
          <w:szCs w:val="20"/>
        </w:rPr>
        <w:t>re then superimposed in the lower half of the screen.</w:t>
      </w:r>
    </w:p>
    <w:p w14:paraId="2E513253" w14:textId="77777777" w:rsidR="001D47B1" w:rsidRPr="00427FF4" w:rsidRDefault="001D47B1">
      <w:pPr>
        <w:pStyle w:val="BodySubHeader"/>
      </w:pPr>
      <w:r w:rsidRPr="00427FF4">
        <w:t xml:space="preserve">The </w:t>
      </w:r>
      <w:r w:rsidRPr="009E163D">
        <w:t>ACMA’s</w:t>
      </w:r>
      <w:r w:rsidRPr="00427FF4">
        <w:t xml:space="preserve"> findings</w:t>
      </w:r>
    </w:p>
    <w:p w14:paraId="51398AF5" w14:textId="3BAE1F66" w:rsidR="00FC02E3" w:rsidRDefault="00FC02E3" w:rsidP="001D47B1">
      <w:r w:rsidRPr="00FF02D3">
        <w:t>While the advertisement ha</w:t>
      </w:r>
      <w:r>
        <w:t>d</w:t>
      </w:r>
      <w:r w:rsidRPr="00FF02D3">
        <w:t xml:space="preserve"> a social dimension regarding individual health choices, the ACMA consider</w:t>
      </w:r>
      <w:r>
        <w:t>ed</w:t>
      </w:r>
      <w:r w:rsidRPr="00FF02D3">
        <w:t xml:space="preserve"> that it </w:t>
      </w:r>
      <w:r>
        <w:t>went</w:t>
      </w:r>
      <w:r w:rsidRPr="00FF02D3">
        <w:t xml:space="preserve"> beyond providing information about the man’s personal story and the message of support for continuing with an unwanted pregnancy even in difficult circumstances. It </w:t>
      </w:r>
      <w:r>
        <w:t>was</w:t>
      </w:r>
      <w:r w:rsidRPr="00FF02D3">
        <w:t xml:space="preserve"> attempting to influence the viewpoints of viewers. The text onscreen ‘I coped </w:t>
      </w:r>
      <w:r w:rsidR="009C07DA">
        <w:t>… y</w:t>
      </w:r>
      <w:r w:rsidRPr="00FF02D3">
        <w:t>ou can too’ and the call from the man to ‘visit notbornyet.com’ encourage</w:t>
      </w:r>
      <w:r>
        <w:t>d</w:t>
      </w:r>
      <w:r w:rsidRPr="00FF02D3">
        <w:t xml:space="preserve"> viewers to get more information about the issue of abortion</w:t>
      </w:r>
      <w:r w:rsidR="009C07DA">
        <w:t>,</w:t>
      </w:r>
      <w:r w:rsidRPr="00FF02D3">
        <w:t xml:space="preserve"> which </w:t>
      </w:r>
      <w:r>
        <w:t>wa</w:t>
      </w:r>
      <w:r w:rsidRPr="00FF02D3">
        <w:t>s raised indirectly in the advertisement. Together with the use of ultrasound images, these elements signal</w:t>
      </w:r>
      <w:r>
        <w:t>led</w:t>
      </w:r>
      <w:r w:rsidRPr="00FF02D3">
        <w:t xml:space="preserve"> to the ordinary reasonable viewer that the advertisement intended to influence viewers to accept a particular view on abortion.</w:t>
      </w:r>
    </w:p>
    <w:p w14:paraId="4FBAD8C7" w14:textId="38DF8870" w:rsidR="001D47B1" w:rsidRPr="00433F5D" w:rsidRDefault="001D47B1" w:rsidP="001D47B1">
      <w:pPr>
        <w:rPr>
          <w:rFonts w:cs="Arial"/>
          <w:szCs w:val="20"/>
        </w:rPr>
      </w:pPr>
      <w:r w:rsidRPr="00433F5D">
        <w:rPr>
          <w:rFonts w:cs="Arial"/>
          <w:szCs w:val="20"/>
        </w:rPr>
        <w:t xml:space="preserve">The ACMA </w:t>
      </w:r>
      <w:r w:rsidR="00CE3356">
        <w:rPr>
          <w:rFonts w:cs="Arial"/>
          <w:szCs w:val="20"/>
        </w:rPr>
        <w:t xml:space="preserve">believed </w:t>
      </w:r>
      <w:r w:rsidRPr="00433F5D">
        <w:rPr>
          <w:rFonts w:cs="Arial"/>
          <w:szCs w:val="20"/>
        </w:rPr>
        <w:t>a key purpose of the advertisement was to promote the aims and objectives of Emily’s Voice and to change people’s views about abortion and build a broader constituency that oppose</w:t>
      </w:r>
      <w:r>
        <w:rPr>
          <w:rFonts w:cs="Arial"/>
          <w:szCs w:val="20"/>
        </w:rPr>
        <w:t>d</w:t>
      </w:r>
      <w:r w:rsidRPr="00433F5D">
        <w:rPr>
          <w:rFonts w:cs="Arial"/>
          <w:szCs w:val="20"/>
        </w:rPr>
        <w:t xml:space="preserve"> abortion in a contemporary context in which the laws about abortion continue</w:t>
      </w:r>
      <w:r>
        <w:rPr>
          <w:rFonts w:cs="Arial"/>
          <w:szCs w:val="20"/>
        </w:rPr>
        <w:t>d</w:t>
      </w:r>
      <w:r w:rsidRPr="00433F5D">
        <w:rPr>
          <w:rFonts w:cs="Arial"/>
          <w:szCs w:val="20"/>
        </w:rPr>
        <w:t xml:space="preserve"> to be actively debated in Australia. For this reason, there </w:t>
      </w:r>
      <w:r>
        <w:rPr>
          <w:rFonts w:cs="Arial"/>
          <w:szCs w:val="20"/>
        </w:rPr>
        <w:t>we</w:t>
      </w:r>
      <w:r w:rsidRPr="00433F5D">
        <w:rPr>
          <w:rFonts w:cs="Arial"/>
          <w:szCs w:val="20"/>
        </w:rPr>
        <w:t xml:space="preserve">re strong political dimensions to the advertisement. </w:t>
      </w:r>
    </w:p>
    <w:p w14:paraId="4E1B32AB" w14:textId="11287D03" w:rsidR="001D47B1" w:rsidRDefault="001D47B1" w:rsidP="001D47B1">
      <w:pPr>
        <w:rPr>
          <w:rFonts w:cs="Arial"/>
          <w:i/>
          <w:szCs w:val="20"/>
        </w:rPr>
      </w:pPr>
      <w:r w:rsidRPr="00433F5D">
        <w:rPr>
          <w:rFonts w:cs="Arial"/>
          <w:szCs w:val="20"/>
        </w:rPr>
        <w:t xml:space="preserve">The ACMA </w:t>
      </w:r>
      <w:r w:rsidR="006B5466">
        <w:rPr>
          <w:rFonts w:cs="Arial"/>
          <w:szCs w:val="20"/>
        </w:rPr>
        <w:t>deemed</w:t>
      </w:r>
      <w:r w:rsidR="006B5466" w:rsidRPr="00433F5D">
        <w:rPr>
          <w:rFonts w:cs="Arial"/>
          <w:szCs w:val="20"/>
        </w:rPr>
        <w:t xml:space="preserve"> </w:t>
      </w:r>
      <w:r w:rsidR="006B5466">
        <w:rPr>
          <w:rFonts w:cs="Arial"/>
          <w:szCs w:val="20"/>
        </w:rPr>
        <w:t xml:space="preserve">that as the </w:t>
      </w:r>
      <w:r w:rsidRPr="00433F5D">
        <w:rPr>
          <w:rFonts w:cs="Arial"/>
          <w:szCs w:val="20"/>
        </w:rPr>
        <w:t xml:space="preserve">broadcast </w:t>
      </w:r>
      <w:r>
        <w:rPr>
          <w:rFonts w:cs="Arial"/>
          <w:szCs w:val="20"/>
        </w:rPr>
        <w:t>wa</w:t>
      </w:r>
      <w:r w:rsidRPr="00433F5D">
        <w:rPr>
          <w:rFonts w:cs="Arial"/>
          <w:szCs w:val="20"/>
        </w:rPr>
        <w:t>s likely to affect a person’s opinion on a matter of political controversy</w:t>
      </w:r>
      <w:r w:rsidR="006B5466">
        <w:rPr>
          <w:rFonts w:cs="Arial"/>
          <w:szCs w:val="20"/>
        </w:rPr>
        <w:t>,</w:t>
      </w:r>
      <w:r w:rsidRPr="00433F5D">
        <w:rPr>
          <w:rFonts w:cs="Arial"/>
          <w:szCs w:val="20"/>
        </w:rPr>
        <w:t xml:space="preserve"> it </w:t>
      </w:r>
      <w:r>
        <w:rPr>
          <w:rFonts w:cs="Arial"/>
          <w:szCs w:val="20"/>
        </w:rPr>
        <w:t>wa</w:t>
      </w:r>
      <w:r w:rsidRPr="00433F5D">
        <w:rPr>
          <w:rFonts w:cs="Arial"/>
          <w:szCs w:val="20"/>
        </w:rPr>
        <w:t>s political matter and f</w:t>
      </w:r>
      <w:r>
        <w:rPr>
          <w:rFonts w:cs="Arial"/>
          <w:szCs w:val="20"/>
        </w:rPr>
        <w:t>e</w:t>
      </w:r>
      <w:r w:rsidRPr="00433F5D">
        <w:rPr>
          <w:rFonts w:cs="Arial"/>
          <w:szCs w:val="20"/>
        </w:rPr>
        <w:t>l</w:t>
      </w:r>
      <w:r>
        <w:rPr>
          <w:rFonts w:cs="Arial"/>
          <w:szCs w:val="20"/>
        </w:rPr>
        <w:t>l</w:t>
      </w:r>
      <w:r w:rsidRPr="00433F5D">
        <w:rPr>
          <w:rFonts w:cs="Arial"/>
          <w:szCs w:val="20"/>
        </w:rPr>
        <w:t xml:space="preserve"> within subclause 4(2)</w:t>
      </w:r>
      <w:r w:rsidR="00DD28A8">
        <w:rPr>
          <w:rFonts w:cs="Arial"/>
          <w:szCs w:val="20"/>
        </w:rPr>
        <w:t xml:space="preserve"> of Schedule 2 to the BSA</w:t>
      </w:r>
      <w:r w:rsidRPr="00433F5D">
        <w:rPr>
          <w:rFonts w:cs="Arial"/>
          <w:szCs w:val="20"/>
        </w:rPr>
        <w:t>.</w:t>
      </w:r>
      <w:r w:rsidRPr="00433F5D">
        <w:rPr>
          <w:rFonts w:cs="Arial"/>
          <w:i/>
          <w:szCs w:val="20"/>
        </w:rPr>
        <w:t xml:space="preserve"> </w:t>
      </w:r>
    </w:p>
    <w:p w14:paraId="1549F6C6" w14:textId="2C4EC561" w:rsidR="00342D29" w:rsidRPr="001638A2" w:rsidRDefault="00342D29" w:rsidP="001D47B1">
      <w:pPr>
        <w:rPr>
          <w:rFonts w:cs="Arial"/>
          <w:szCs w:val="20"/>
        </w:rPr>
      </w:pPr>
      <w:r w:rsidRPr="00A56A02">
        <w:rPr>
          <w:rFonts w:cs="Arial"/>
          <w:szCs w:val="20"/>
        </w:rPr>
        <w:t>The complete analysis</w:t>
      </w:r>
      <w:r w:rsidR="000756FA" w:rsidRPr="00A56A02">
        <w:rPr>
          <w:rFonts w:cs="Arial"/>
          <w:szCs w:val="20"/>
        </w:rPr>
        <w:t xml:space="preserve"> in this </w:t>
      </w:r>
      <w:r w:rsidR="00236A36" w:rsidRPr="00A56A02">
        <w:rPr>
          <w:rFonts w:cs="Arial"/>
          <w:szCs w:val="20"/>
        </w:rPr>
        <w:t xml:space="preserve">investigation </w:t>
      </w:r>
      <w:r w:rsidR="008E6BD2" w:rsidRPr="00A56A02">
        <w:rPr>
          <w:rFonts w:cs="Arial"/>
          <w:szCs w:val="20"/>
        </w:rPr>
        <w:t xml:space="preserve">can be accessed in </w:t>
      </w:r>
      <w:r w:rsidR="00FC17EB" w:rsidRPr="00A56A02">
        <w:rPr>
          <w:rFonts w:cs="Arial"/>
          <w:szCs w:val="20"/>
        </w:rPr>
        <w:t>I</w:t>
      </w:r>
      <w:r w:rsidR="008E6BD2" w:rsidRPr="00A56A02">
        <w:rPr>
          <w:rFonts w:cs="Arial"/>
          <w:szCs w:val="20"/>
        </w:rPr>
        <w:t>nvest</w:t>
      </w:r>
      <w:r w:rsidR="00407702" w:rsidRPr="00A56A02">
        <w:rPr>
          <w:rFonts w:cs="Arial"/>
          <w:szCs w:val="20"/>
        </w:rPr>
        <w:t xml:space="preserve">igation </w:t>
      </w:r>
      <w:r w:rsidR="007B48A0" w:rsidRPr="00A56A02">
        <w:rPr>
          <w:rFonts w:cs="Arial"/>
          <w:szCs w:val="20"/>
        </w:rPr>
        <w:t>R</w:t>
      </w:r>
      <w:r w:rsidR="00407702" w:rsidRPr="00A56A02">
        <w:rPr>
          <w:rFonts w:cs="Arial"/>
          <w:szCs w:val="20"/>
        </w:rPr>
        <w:t>eport</w:t>
      </w:r>
      <w:r w:rsidR="007B48A0" w:rsidRPr="00A56A02">
        <w:rPr>
          <w:rFonts w:cs="Arial"/>
          <w:szCs w:val="20"/>
        </w:rPr>
        <w:t xml:space="preserve"> No. </w:t>
      </w:r>
      <w:r w:rsidR="00236A36" w:rsidRPr="00A56A02">
        <w:rPr>
          <w:rFonts w:cs="Arial"/>
          <w:szCs w:val="20"/>
        </w:rPr>
        <w:t>BI-231</w:t>
      </w:r>
      <w:r w:rsidR="00E232A3" w:rsidRPr="00A56A02">
        <w:rPr>
          <w:rFonts w:cs="Arial"/>
          <w:szCs w:val="20"/>
        </w:rPr>
        <w:t xml:space="preserve"> at</w:t>
      </w:r>
      <w:r w:rsidR="00236A36" w:rsidRPr="00A56A02">
        <w:rPr>
          <w:rFonts w:cs="Arial"/>
          <w:szCs w:val="20"/>
        </w:rPr>
        <w:t xml:space="preserve"> </w:t>
      </w:r>
      <w:hyperlink r:id="rId36" w:history="1">
        <w:r w:rsidR="008E6BD2" w:rsidRPr="00A56A02">
          <w:rPr>
            <w:rStyle w:val="Hyperlink"/>
            <w:rFonts w:cs="Arial"/>
            <w:szCs w:val="20"/>
          </w:rPr>
          <w:t>acma.gov.au</w:t>
        </w:r>
      </w:hyperlink>
      <w:r w:rsidR="008E6BD2" w:rsidRPr="00A56A02">
        <w:rPr>
          <w:rFonts w:cs="Arial"/>
          <w:szCs w:val="20"/>
        </w:rPr>
        <w:t>.</w:t>
      </w:r>
    </w:p>
    <w:p w14:paraId="638B445B" w14:textId="77777777" w:rsidR="001D47B1" w:rsidRDefault="001D47B1" w:rsidP="001D47B1">
      <w:pPr>
        <w:rPr>
          <w:rFonts w:cs="Arial"/>
          <w:szCs w:val="20"/>
        </w:rPr>
      </w:pPr>
      <w:r>
        <w:rPr>
          <w:rFonts w:cs="Arial"/>
          <w:szCs w:val="20"/>
        </w:rPr>
        <w:br w:type="page"/>
      </w:r>
    </w:p>
    <w:p w14:paraId="70CA4799" w14:textId="77777777" w:rsidR="001D47B1" w:rsidRPr="00DB1AA8" w:rsidRDefault="001D47B1" w:rsidP="00C52570">
      <w:pPr>
        <w:pStyle w:val="Heading2"/>
      </w:pPr>
      <w:bookmarkStart w:id="38" w:name="_Case_study_2"/>
      <w:bookmarkStart w:id="39" w:name="_Toc10639019"/>
      <w:bookmarkEnd w:id="38"/>
      <w:r w:rsidRPr="000606EE">
        <w:lastRenderedPageBreak/>
        <w:t>Case stud</w:t>
      </w:r>
      <w:r>
        <w:t>y 2</w:t>
      </w:r>
      <w:bookmarkEnd w:id="39"/>
    </w:p>
    <w:p w14:paraId="1B29B20B" w14:textId="0919B15A" w:rsidR="001D47B1" w:rsidRDefault="001D47B1" w:rsidP="00F43C7A">
      <w:pPr>
        <w:pStyle w:val="Heading3"/>
      </w:pPr>
      <w:bookmarkStart w:id="40" w:name="_Toc5863399"/>
      <w:bookmarkStart w:id="41" w:name="_Toc5963143"/>
      <w:bookmarkStart w:id="42" w:name="_Toc10639020"/>
      <w:r>
        <w:t>No b</w:t>
      </w:r>
      <w:r w:rsidRPr="00321AF8">
        <w:t>reach</w:t>
      </w:r>
      <w:r w:rsidR="00075641">
        <w:t>—</w:t>
      </w:r>
      <w:r>
        <w:t>political matter was not broadcast at the request of another person</w:t>
      </w:r>
      <w:bookmarkEnd w:id="40"/>
      <w:bookmarkEnd w:id="41"/>
      <w:bookmarkEnd w:id="42"/>
      <w:r>
        <w:t xml:space="preserve"> </w:t>
      </w:r>
    </w:p>
    <w:p w14:paraId="29A01468" w14:textId="77777777" w:rsidR="001D47B1" w:rsidRPr="00427FF4" w:rsidRDefault="001D47B1">
      <w:pPr>
        <w:pStyle w:val="BodySubHeader"/>
      </w:pPr>
      <w:r w:rsidRPr="00427FF4">
        <w:t xml:space="preserve">The </w:t>
      </w:r>
      <w:r w:rsidRPr="009E163D">
        <w:t>broadcast</w:t>
      </w:r>
      <w:r w:rsidRPr="00427FF4">
        <w:t xml:space="preserve"> material</w:t>
      </w:r>
    </w:p>
    <w:p w14:paraId="7D3BAD66" w14:textId="526F38B4" w:rsidR="001D47B1" w:rsidRDefault="001D47B1" w:rsidP="001D47B1">
      <w:pPr>
        <w:pStyle w:val="ACMABodyTextBold"/>
        <w:tabs>
          <w:tab w:val="left" w:pos="2694"/>
        </w:tabs>
        <w:spacing w:before="120" w:after="120"/>
        <w:rPr>
          <w:b w:val="0"/>
          <w:szCs w:val="24"/>
        </w:rPr>
      </w:pPr>
      <w:r>
        <w:rPr>
          <w:b w:val="0"/>
          <w:szCs w:val="24"/>
        </w:rPr>
        <w:t>The content contained a sequence of 16 images of different people, representing all walks of life, holding up handwritten signs stating what love means to them</w:t>
      </w:r>
      <w:r w:rsidR="00FC1996">
        <w:rPr>
          <w:b w:val="0"/>
          <w:szCs w:val="24"/>
        </w:rPr>
        <w:t>. F</w:t>
      </w:r>
      <w:r>
        <w:rPr>
          <w:b w:val="0"/>
          <w:szCs w:val="24"/>
        </w:rPr>
        <w:t>or example</w:t>
      </w:r>
      <w:r w:rsidR="00FC1996">
        <w:rPr>
          <w:b w:val="0"/>
          <w:szCs w:val="24"/>
        </w:rPr>
        <w:t>:</w:t>
      </w:r>
      <w:r>
        <w:rPr>
          <w:b w:val="0"/>
          <w:szCs w:val="24"/>
        </w:rPr>
        <w:t xml:space="preserve"> ‘I love my dog (&amp; fianc</w:t>
      </w:r>
      <w:r w:rsidR="00495C5D">
        <w:rPr>
          <w:b w:val="0"/>
          <w:szCs w:val="24"/>
        </w:rPr>
        <w:t>é</w:t>
      </w:r>
      <w:r>
        <w:rPr>
          <w:b w:val="0"/>
          <w:szCs w:val="24"/>
        </w:rPr>
        <w:t xml:space="preserve">)’, ‘Love makes the world go round!’ and ‘Love is my baby daughter’. </w:t>
      </w:r>
    </w:p>
    <w:p w14:paraId="7578172A" w14:textId="2B2AFB86" w:rsidR="001D47B1" w:rsidRDefault="001D47B1" w:rsidP="001D47B1">
      <w:pPr>
        <w:pStyle w:val="ACMABodyTextBold"/>
        <w:spacing w:before="120" w:after="120"/>
        <w:rPr>
          <w:b w:val="0"/>
        </w:rPr>
      </w:pPr>
      <w:r>
        <w:rPr>
          <w:b w:val="0"/>
          <w:szCs w:val="24"/>
        </w:rPr>
        <w:t xml:space="preserve">The signs presented a range of personal reflections on love and the ways that people experience </w:t>
      </w:r>
      <w:r w:rsidR="00FC1996">
        <w:rPr>
          <w:b w:val="0"/>
          <w:szCs w:val="24"/>
        </w:rPr>
        <w:t>it</w:t>
      </w:r>
      <w:r>
        <w:rPr>
          <w:b w:val="0"/>
          <w:szCs w:val="24"/>
        </w:rPr>
        <w:t>. One of the signs explicitly commented on marriage equality by stating, ‘</w:t>
      </w:r>
      <w:r>
        <w:rPr>
          <w:b w:val="0"/>
        </w:rPr>
        <w:t>Love is for everyone. I don’t want to get married but I want the choice!’</w:t>
      </w:r>
    </w:p>
    <w:p w14:paraId="1B1DA2DE" w14:textId="3D4B7691" w:rsidR="001D47B1" w:rsidRDefault="001D47B1" w:rsidP="001D47B1">
      <w:pPr>
        <w:pStyle w:val="ACMABodyText"/>
        <w:rPr>
          <w:szCs w:val="24"/>
        </w:rPr>
      </w:pPr>
      <w:r>
        <w:rPr>
          <w:szCs w:val="24"/>
        </w:rPr>
        <w:t>At the end of the promotion, a rainbow</w:t>
      </w:r>
      <w:r w:rsidR="00FC1996">
        <w:rPr>
          <w:szCs w:val="24"/>
        </w:rPr>
        <w:t>-</w:t>
      </w:r>
      <w:r>
        <w:rPr>
          <w:szCs w:val="24"/>
        </w:rPr>
        <w:t xml:space="preserve">coloured heart appeared on-screen and transformed into the Lifestyle channels’ logo in rainbow colours. The logo was accompanied by the tagline ‘Love is Love’ which transformed into the word ‘Lifestyle’. The use of the Lifestyle channels’ logo in rainbow colours and the text ‘Love is Love’ at the end of the promotion, ‘branded’ it as part of the ‘Love is Love’ campaign. </w:t>
      </w:r>
    </w:p>
    <w:p w14:paraId="1A683307" w14:textId="2BBE2206" w:rsidR="00D27A69" w:rsidRDefault="00D27A69" w:rsidP="00D27A69">
      <w:pPr>
        <w:pStyle w:val="ACMABodyText"/>
        <w:spacing w:after="80"/>
      </w:pPr>
      <w:r>
        <w:t>T</w:t>
      </w:r>
      <w:r w:rsidR="001D47B1">
        <w:t>he licensee</w:t>
      </w:r>
      <w:r>
        <w:t xml:space="preserve"> stated:</w:t>
      </w:r>
    </w:p>
    <w:p w14:paraId="5AFDD4D2" w14:textId="13107CC8" w:rsidR="001D47B1" w:rsidRPr="00FA2998" w:rsidRDefault="001D47B1" w:rsidP="00D27A69">
      <w:pPr>
        <w:pStyle w:val="ListBullet"/>
      </w:pPr>
      <w:r>
        <w:t>t</w:t>
      </w:r>
      <w:r w:rsidRPr="00DC43DE">
        <w:t>he ‘Love is Love’ campaign was</w:t>
      </w:r>
      <w:r>
        <w:t xml:space="preserve"> an independent initiative of the Lifestyle channels, </w:t>
      </w:r>
      <w:r w:rsidRPr="00FA2998">
        <w:t xml:space="preserve">planned to coincide with Valentine’s Day, ‘to promote love in all forms, between all different people, regardless of their sexual orientation’ </w:t>
      </w:r>
    </w:p>
    <w:p w14:paraId="0985E89A" w14:textId="7A8FD1E7" w:rsidR="00D27A69" w:rsidRDefault="001D47B1" w:rsidP="00D27A69">
      <w:pPr>
        <w:pStyle w:val="ListBullet"/>
        <w:rPr>
          <w:lang w:val="en-US"/>
        </w:rPr>
      </w:pPr>
      <w:r w:rsidRPr="00FA2998">
        <w:t xml:space="preserve">‘Love is Love’ </w:t>
      </w:r>
      <w:r w:rsidRPr="00FA2998">
        <w:rPr>
          <w:lang w:val="en-US"/>
        </w:rPr>
        <w:t>ha</w:t>
      </w:r>
      <w:r>
        <w:rPr>
          <w:lang w:val="en-US"/>
        </w:rPr>
        <w:t>d</w:t>
      </w:r>
      <w:r w:rsidRPr="00FA2998">
        <w:rPr>
          <w:lang w:val="en-US"/>
        </w:rPr>
        <w:t xml:space="preserve"> become synonymous with the </w:t>
      </w:r>
      <w:r>
        <w:rPr>
          <w:lang w:val="en-US"/>
        </w:rPr>
        <w:t xml:space="preserve">global </w:t>
      </w:r>
      <w:r w:rsidRPr="00FA2998">
        <w:rPr>
          <w:lang w:val="en-US"/>
        </w:rPr>
        <w:t>push for equality of the LGBTI community in a</w:t>
      </w:r>
      <w:r>
        <w:rPr>
          <w:lang w:val="en-US"/>
        </w:rPr>
        <w:t xml:space="preserve">ll areas of life, including </w:t>
      </w:r>
      <w:r w:rsidRPr="00FA2998">
        <w:rPr>
          <w:lang w:val="en-US"/>
        </w:rPr>
        <w:t xml:space="preserve">marriage equality in Australia </w:t>
      </w:r>
    </w:p>
    <w:p w14:paraId="56DA62A4" w14:textId="7A749588" w:rsidR="001D47B1" w:rsidRPr="00FA2998" w:rsidRDefault="001D47B1" w:rsidP="00D27A69">
      <w:pPr>
        <w:pStyle w:val="ListBullet"/>
        <w:rPr>
          <w:lang w:val="en-US"/>
        </w:rPr>
      </w:pPr>
      <w:r w:rsidRPr="00FA2998">
        <w:rPr>
          <w:lang w:val="en-US"/>
        </w:rPr>
        <w:t>the campaign use</w:t>
      </w:r>
      <w:r>
        <w:rPr>
          <w:lang w:val="en-US"/>
        </w:rPr>
        <w:t>d</w:t>
      </w:r>
      <w:r w:rsidRPr="00FA2998">
        <w:rPr>
          <w:lang w:val="en-US"/>
        </w:rPr>
        <w:t xml:space="preserve"> the rainbow colours of the LGBTI pride flag to symbolise the acceptance of all expressions of love</w:t>
      </w:r>
    </w:p>
    <w:p w14:paraId="13070C11" w14:textId="4D6DE9D5" w:rsidR="001D47B1" w:rsidRDefault="001D47B1" w:rsidP="00D27A69">
      <w:pPr>
        <w:pStyle w:val="ListBulletLast"/>
      </w:pPr>
      <w:r>
        <w:t xml:space="preserve">the </w:t>
      </w:r>
      <w:r w:rsidRPr="00DC43DE">
        <w:t xml:space="preserve">‘Love is Love’ </w:t>
      </w:r>
      <w:r>
        <w:t>campaign was conceived and developed by the Lifestyle c</w:t>
      </w:r>
      <w:r w:rsidRPr="00DC43DE">
        <w:t>hannels</w:t>
      </w:r>
      <w:r>
        <w:t>,</w:t>
      </w:r>
      <w:r w:rsidRPr="00DC43DE">
        <w:t xml:space="preserve"> wh</w:t>
      </w:r>
      <w:r>
        <w:t>ich</w:t>
      </w:r>
      <w:r w:rsidRPr="00DC43DE">
        <w:t xml:space="preserve"> </w:t>
      </w:r>
      <w:r>
        <w:t xml:space="preserve">also </w:t>
      </w:r>
      <w:r w:rsidRPr="00DC43DE">
        <w:t>had creative and edito</w:t>
      </w:r>
      <w:r>
        <w:t xml:space="preserve">rial control over the </w:t>
      </w:r>
      <w:r w:rsidRPr="00DC43DE">
        <w:t>content</w:t>
      </w:r>
      <w:r>
        <w:t xml:space="preserve"> used</w:t>
      </w:r>
      <w:r w:rsidRPr="00DC43DE">
        <w:t>.</w:t>
      </w:r>
    </w:p>
    <w:p w14:paraId="10669D87" w14:textId="300A1B1A" w:rsidR="001D47B1" w:rsidRDefault="001D47B1" w:rsidP="001D47B1">
      <w:pPr>
        <w:pStyle w:val="ACMABodyText"/>
      </w:pPr>
      <w:r w:rsidRPr="007A68B6">
        <w:rPr>
          <w:szCs w:val="24"/>
        </w:rPr>
        <w:t>T</w:t>
      </w:r>
      <w:r>
        <w:rPr>
          <w:szCs w:val="24"/>
        </w:rPr>
        <w:t xml:space="preserve">aking this </w:t>
      </w:r>
      <w:r w:rsidRPr="007A68B6">
        <w:rPr>
          <w:szCs w:val="24"/>
        </w:rPr>
        <w:t>content</w:t>
      </w:r>
      <w:r>
        <w:rPr>
          <w:szCs w:val="24"/>
        </w:rPr>
        <w:t xml:space="preserve"> as a whole</w:t>
      </w:r>
      <w:r w:rsidRPr="007A68B6">
        <w:rPr>
          <w:szCs w:val="24"/>
        </w:rPr>
        <w:t xml:space="preserve">, </w:t>
      </w:r>
      <w:r>
        <w:rPr>
          <w:szCs w:val="24"/>
        </w:rPr>
        <w:t>the promotion</w:t>
      </w:r>
      <w:r w:rsidRPr="007A68B6">
        <w:rPr>
          <w:szCs w:val="24"/>
        </w:rPr>
        <w:t xml:space="preserve"> would have prompted viewers to</w:t>
      </w:r>
      <w:r w:rsidR="00EA2191">
        <w:rPr>
          <w:szCs w:val="24"/>
        </w:rPr>
        <w:t>wards</w:t>
      </w:r>
      <w:r w:rsidRPr="007A68B6">
        <w:rPr>
          <w:szCs w:val="24"/>
        </w:rPr>
        <w:t xml:space="preserve"> </w:t>
      </w:r>
      <w:r>
        <w:rPr>
          <w:szCs w:val="24"/>
        </w:rPr>
        <w:t>pursu</w:t>
      </w:r>
      <w:r w:rsidR="00EA2191">
        <w:rPr>
          <w:szCs w:val="24"/>
        </w:rPr>
        <w:t>ing</w:t>
      </w:r>
      <w:r>
        <w:rPr>
          <w:szCs w:val="24"/>
        </w:rPr>
        <w:t xml:space="preserve"> a particular point of view about ma</w:t>
      </w:r>
      <w:r w:rsidRPr="007A68B6">
        <w:rPr>
          <w:szCs w:val="24"/>
        </w:rPr>
        <w:t xml:space="preserve">rriage </w:t>
      </w:r>
      <w:r>
        <w:rPr>
          <w:szCs w:val="24"/>
        </w:rPr>
        <w:t>laws</w:t>
      </w:r>
      <w:r w:rsidRPr="007A68B6">
        <w:rPr>
          <w:szCs w:val="24"/>
        </w:rPr>
        <w:t>.</w:t>
      </w:r>
    </w:p>
    <w:p w14:paraId="4BB6041B" w14:textId="77777777" w:rsidR="001D47B1" w:rsidRPr="00427FF4" w:rsidRDefault="001D47B1">
      <w:pPr>
        <w:pStyle w:val="BodySubHeader"/>
      </w:pPr>
      <w:r w:rsidRPr="00427FF4">
        <w:t xml:space="preserve">The </w:t>
      </w:r>
      <w:r w:rsidRPr="009E163D">
        <w:t>ACMA’s</w:t>
      </w:r>
      <w:r w:rsidRPr="00427FF4">
        <w:t xml:space="preserve"> findings</w:t>
      </w:r>
    </w:p>
    <w:p w14:paraId="20C86544" w14:textId="77777777" w:rsidR="001D47B1" w:rsidRPr="00484D48" w:rsidRDefault="001D47B1" w:rsidP="001D47B1">
      <w:pPr>
        <w:rPr>
          <w:rFonts w:cs="Arial"/>
          <w:szCs w:val="20"/>
        </w:rPr>
      </w:pPr>
      <w:r w:rsidRPr="00484D48">
        <w:rPr>
          <w:rFonts w:cs="Arial"/>
          <w:szCs w:val="20"/>
        </w:rPr>
        <w:t>The licensee’s description of the initiative as a ‘campaign’ suggest</w:t>
      </w:r>
      <w:r>
        <w:rPr>
          <w:rFonts w:cs="Arial"/>
          <w:szCs w:val="20"/>
        </w:rPr>
        <w:t>ed</w:t>
      </w:r>
      <w:r w:rsidRPr="00484D48">
        <w:rPr>
          <w:rFonts w:cs="Arial"/>
          <w:szCs w:val="20"/>
        </w:rPr>
        <w:t xml:space="preserve"> that the intention was to influence audience views about marriage equality as a political issue beyond merely communicating about equality and inclusiveness in society more generally. </w:t>
      </w:r>
    </w:p>
    <w:p w14:paraId="42E192EE" w14:textId="0CB06B0C" w:rsidR="001D47B1" w:rsidRPr="00484D48" w:rsidRDefault="001D47B1" w:rsidP="001D47B1">
      <w:pPr>
        <w:rPr>
          <w:rFonts w:cs="Arial"/>
          <w:szCs w:val="20"/>
        </w:rPr>
      </w:pPr>
      <w:r w:rsidRPr="00484D48">
        <w:rPr>
          <w:rFonts w:cs="Arial"/>
          <w:szCs w:val="20"/>
        </w:rPr>
        <w:t xml:space="preserve">Frequent and repetitive broadcasts of the ‘Love is Love’ campaign in a defined period leading up to Valentine’s Day would have been understood by the audience as a direct appeal to garner support for marriage equality, even if the substance of some of the individual promotions might not </w:t>
      </w:r>
      <w:r>
        <w:rPr>
          <w:rFonts w:cs="Arial"/>
          <w:szCs w:val="20"/>
        </w:rPr>
        <w:t xml:space="preserve">have </w:t>
      </w:r>
      <w:r w:rsidRPr="00484D48">
        <w:rPr>
          <w:rFonts w:cs="Arial"/>
          <w:szCs w:val="20"/>
        </w:rPr>
        <w:t>be</w:t>
      </w:r>
      <w:r>
        <w:rPr>
          <w:rFonts w:cs="Arial"/>
          <w:szCs w:val="20"/>
        </w:rPr>
        <w:t>en</w:t>
      </w:r>
      <w:r w:rsidRPr="00484D48">
        <w:rPr>
          <w:rFonts w:cs="Arial"/>
          <w:szCs w:val="20"/>
        </w:rPr>
        <w:t xml:space="preserve"> characterised as political in nature.</w:t>
      </w:r>
    </w:p>
    <w:p w14:paraId="62CE9B43" w14:textId="0412B16C" w:rsidR="001D47B1" w:rsidRPr="00484D48" w:rsidRDefault="001D47B1" w:rsidP="001D47B1">
      <w:pPr>
        <w:rPr>
          <w:rFonts w:cs="Arial"/>
          <w:szCs w:val="20"/>
        </w:rPr>
      </w:pPr>
      <w:r w:rsidRPr="00484D48">
        <w:rPr>
          <w:rFonts w:cs="Arial"/>
          <w:szCs w:val="20"/>
        </w:rPr>
        <w:t>The ACMA ha</w:t>
      </w:r>
      <w:r>
        <w:rPr>
          <w:rFonts w:cs="Arial"/>
          <w:szCs w:val="20"/>
        </w:rPr>
        <w:t>d</w:t>
      </w:r>
      <w:r w:rsidRPr="00484D48">
        <w:rPr>
          <w:rFonts w:cs="Arial"/>
          <w:szCs w:val="20"/>
        </w:rPr>
        <w:t xml:space="preserve"> previously stated that material need not contain an explicit call to action to be political matter. As a package, the ‘Love is Love’ campaign include</w:t>
      </w:r>
      <w:r>
        <w:rPr>
          <w:rFonts w:cs="Arial"/>
          <w:szCs w:val="20"/>
        </w:rPr>
        <w:t>d</w:t>
      </w:r>
      <w:r w:rsidRPr="00484D48">
        <w:rPr>
          <w:rFonts w:cs="Arial"/>
          <w:szCs w:val="20"/>
        </w:rPr>
        <w:t xml:space="preserve"> elements that amount</w:t>
      </w:r>
      <w:r w:rsidR="00CB10B7">
        <w:rPr>
          <w:rFonts w:cs="Arial"/>
          <w:szCs w:val="20"/>
        </w:rPr>
        <w:t>ed</w:t>
      </w:r>
      <w:r w:rsidRPr="00484D48">
        <w:rPr>
          <w:rFonts w:cs="Arial"/>
          <w:szCs w:val="20"/>
        </w:rPr>
        <w:t xml:space="preserve"> to a call to action and more subtle attempts that would have been understood as intended to persuade viewers to support marriage equality.</w:t>
      </w:r>
    </w:p>
    <w:p w14:paraId="2B273B46" w14:textId="77777777" w:rsidR="001D47B1" w:rsidRPr="00484D48" w:rsidRDefault="001D47B1" w:rsidP="001D47B1">
      <w:pPr>
        <w:rPr>
          <w:rFonts w:cs="Arial"/>
          <w:szCs w:val="20"/>
        </w:rPr>
      </w:pPr>
      <w:r w:rsidRPr="00484D48">
        <w:rPr>
          <w:rFonts w:cs="Arial"/>
          <w:szCs w:val="20"/>
        </w:rPr>
        <w:t>For these reasons, the ACMA consider</w:t>
      </w:r>
      <w:r>
        <w:rPr>
          <w:rFonts w:cs="Arial"/>
          <w:szCs w:val="20"/>
        </w:rPr>
        <w:t>ed</w:t>
      </w:r>
      <w:r w:rsidRPr="00484D48">
        <w:rPr>
          <w:rFonts w:cs="Arial"/>
          <w:szCs w:val="20"/>
        </w:rPr>
        <w:t xml:space="preserve"> that the ‘Love is Love’ campaign constitute</w:t>
      </w:r>
      <w:r>
        <w:rPr>
          <w:rFonts w:cs="Arial"/>
          <w:szCs w:val="20"/>
        </w:rPr>
        <w:t>d</w:t>
      </w:r>
      <w:r w:rsidRPr="00484D48">
        <w:rPr>
          <w:rFonts w:cs="Arial"/>
          <w:szCs w:val="20"/>
        </w:rPr>
        <w:t xml:space="preserve"> political matter within the meaning of the BSA.</w:t>
      </w:r>
    </w:p>
    <w:p w14:paraId="670862A5" w14:textId="6AFBB5FC" w:rsidR="0012545D" w:rsidRDefault="001D47B1" w:rsidP="001D47B1">
      <w:pPr>
        <w:rPr>
          <w:rFonts w:cs="Arial"/>
          <w:szCs w:val="20"/>
          <w:lang w:val="en-US"/>
        </w:rPr>
      </w:pPr>
      <w:r w:rsidRPr="00484D48">
        <w:rPr>
          <w:rFonts w:cs="Arial"/>
          <w:szCs w:val="20"/>
          <w:lang w:val="en-US"/>
        </w:rPr>
        <w:t>The ACMA accept</w:t>
      </w:r>
      <w:r>
        <w:rPr>
          <w:rFonts w:cs="Arial"/>
          <w:szCs w:val="20"/>
          <w:lang w:val="en-US"/>
        </w:rPr>
        <w:t>ed</w:t>
      </w:r>
      <w:r w:rsidRPr="00484D48">
        <w:rPr>
          <w:rFonts w:cs="Arial"/>
          <w:szCs w:val="20"/>
          <w:lang w:val="en-US"/>
        </w:rPr>
        <w:t xml:space="preserve"> the licensee’s submissions that neither the advertisement nor the ‘Love is Love’ campaign </w:t>
      </w:r>
      <w:r w:rsidR="00947725">
        <w:rPr>
          <w:rFonts w:cs="Arial"/>
          <w:szCs w:val="20"/>
          <w:lang w:val="en-US"/>
        </w:rPr>
        <w:t xml:space="preserve">was broadcast </w:t>
      </w:r>
      <w:r w:rsidRPr="00484D48">
        <w:rPr>
          <w:rFonts w:cs="Arial"/>
          <w:szCs w:val="20"/>
          <w:lang w:val="en-US"/>
        </w:rPr>
        <w:t>at the request of another person</w:t>
      </w:r>
      <w:r w:rsidR="00CB10B7">
        <w:rPr>
          <w:rFonts w:cs="Arial"/>
          <w:szCs w:val="20"/>
          <w:lang w:val="en-US"/>
        </w:rPr>
        <w:t>—</w:t>
      </w:r>
      <w:r w:rsidRPr="00484D48">
        <w:rPr>
          <w:rFonts w:cs="Arial"/>
          <w:szCs w:val="20"/>
          <w:lang w:val="en-US"/>
        </w:rPr>
        <w:t>as evidenced in submissions made to the ACMA, where the licensee confirmed that no consideration was received for the broadcast of this material</w:t>
      </w:r>
      <w:r w:rsidR="00CB10B7">
        <w:rPr>
          <w:rFonts w:cs="Arial"/>
          <w:szCs w:val="20"/>
          <w:lang w:val="en-US"/>
        </w:rPr>
        <w:t xml:space="preserve">. </w:t>
      </w:r>
    </w:p>
    <w:p w14:paraId="011077A9" w14:textId="77777777" w:rsidR="00E232A3" w:rsidRDefault="00FF7E24" w:rsidP="001D47B1">
      <w:pPr>
        <w:rPr>
          <w:rFonts w:cs="Arial"/>
          <w:szCs w:val="20"/>
        </w:rPr>
      </w:pPr>
      <w:r w:rsidRPr="00433F5D">
        <w:rPr>
          <w:rFonts w:cs="Arial"/>
          <w:szCs w:val="20"/>
        </w:rPr>
        <w:lastRenderedPageBreak/>
        <w:t>For these reasons, the ACMA f</w:t>
      </w:r>
      <w:r>
        <w:rPr>
          <w:rFonts w:cs="Arial"/>
          <w:szCs w:val="20"/>
        </w:rPr>
        <w:t>ound</w:t>
      </w:r>
      <w:r w:rsidRPr="00433F5D">
        <w:rPr>
          <w:rFonts w:cs="Arial"/>
          <w:szCs w:val="20"/>
        </w:rPr>
        <w:t xml:space="preserve"> that the </w:t>
      </w:r>
      <w:r>
        <w:rPr>
          <w:rFonts w:cs="Arial"/>
          <w:szCs w:val="20"/>
        </w:rPr>
        <w:t>political matter was not broadcast at the request of another person</w:t>
      </w:r>
      <w:r w:rsidR="00C675BA">
        <w:rPr>
          <w:rFonts w:cs="Arial"/>
          <w:szCs w:val="20"/>
        </w:rPr>
        <w:t xml:space="preserve"> and the requirements in clause 4 of Schedule 2 to the BSA </w:t>
      </w:r>
      <w:r w:rsidR="00356B0C">
        <w:rPr>
          <w:rFonts w:cs="Arial"/>
          <w:szCs w:val="20"/>
        </w:rPr>
        <w:t>did not apply to the broadcast</w:t>
      </w:r>
      <w:r>
        <w:rPr>
          <w:rFonts w:cs="Arial"/>
          <w:szCs w:val="20"/>
        </w:rPr>
        <w:t>.</w:t>
      </w:r>
      <w:r w:rsidDel="00FF7E24">
        <w:rPr>
          <w:rFonts w:cs="Arial"/>
          <w:szCs w:val="20"/>
        </w:rPr>
        <w:t xml:space="preserve"> </w:t>
      </w:r>
    </w:p>
    <w:p w14:paraId="1B19AF6B" w14:textId="64F6F26D" w:rsidR="001D47B1" w:rsidRPr="009C07DA" w:rsidRDefault="00E232A3" w:rsidP="001D47B1">
      <w:pPr>
        <w:rPr>
          <w:rFonts w:cs="Arial"/>
          <w:b/>
          <w:szCs w:val="20"/>
        </w:rPr>
      </w:pPr>
      <w:r w:rsidRPr="00A56A02">
        <w:rPr>
          <w:rFonts w:cs="Arial"/>
          <w:szCs w:val="20"/>
        </w:rPr>
        <w:t xml:space="preserve">The complete analysis in this investigation can be accessed in Investigation </w:t>
      </w:r>
      <w:r w:rsidR="007B48A0" w:rsidRPr="00A56A02">
        <w:rPr>
          <w:rFonts w:cs="Arial"/>
          <w:szCs w:val="20"/>
        </w:rPr>
        <w:t>R</w:t>
      </w:r>
      <w:r w:rsidRPr="00A56A02">
        <w:rPr>
          <w:rFonts w:cs="Arial"/>
          <w:szCs w:val="20"/>
        </w:rPr>
        <w:t xml:space="preserve">eport    </w:t>
      </w:r>
      <w:r w:rsidR="007B48A0" w:rsidRPr="00A56A02">
        <w:rPr>
          <w:rFonts w:cs="Arial"/>
          <w:szCs w:val="20"/>
        </w:rPr>
        <w:t xml:space="preserve">No. </w:t>
      </w:r>
      <w:r w:rsidRPr="00A56A02">
        <w:rPr>
          <w:rFonts w:cs="Arial"/>
          <w:szCs w:val="20"/>
        </w:rPr>
        <w:t>BI-</w:t>
      </w:r>
      <w:r w:rsidR="009C54EB" w:rsidRPr="00A56A02">
        <w:rPr>
          <w:rFonts w:cs="Arial"/>
          <w:szCs w:val="20"/>
        </w:rPr>
        <w:t>302</w:t>
      </w:r>
      <w:r w:rsidRPr="00A56A02">
        <w:rPr>
          <w:rFonts w:cs="Arial"/>
          <w:szCs w:val="20"/>
        </w:rPr>
        <w:t xml:space="preserve"> at </w:t>
      </w:r>
      <w:hyperlink r:id="rId37" w:history="1">
        <w:r w:rsidRPr="00A56A02">
          <w:rPr>
            <w:rStyle w:val="Hyperlink"/>
            <w:rFonts w:cs="Arial"/>
            <w:szCs w:val="20"/>
          </w:rPr>
          <w:t>acma.gov.au</w:t>
        </w:r>
      </w:hyperlink>
      <w:r w:rsidR="009C07DA">
        <w:rPr>
          <w:rFonts w:cs="Arial"/>
          <w:szCs w:val="20"/>
        </w:rPr>
        <w:t>.</w:t>
      </w:r>
      <w:r w:rsidR="001D47B1" w:rsidRPr="001638A2">
        <w:rPr>
          <w:rFonts w:cs="Arial"/>
          <w:b/>
          <w:szCs w:val="20"/>
        </w:rPr>
        <w:br w:type="page"/>
      </w:r>
    </w:p>
    <w:p w14:paraId="436B5E2F" w14:textId="77777777" w:rsidR="001D47B1" w:rsidRPr="00DB1AA8" w:rsidRDefault="001D47B1" w:rsidP="00C52570">
      <w:pPr>
        <w:pStyle w:val="Heading2"/>
      </w:pPr>
      <w:bookmarkStart w:id="43" w:name="_Case_study_3"/>
      <w:bookmarkStart w:id="44" w:name="_Toc10639021"/>
      <w:bookmarkEnd w:id="43"/>
      <w:r w:rsidRPr="000606EE">
        <w:lastRenderedPageBreak/>
        <w:t>Case stud</w:t>
      </w:r>
      <w:r>
        <w:t>y 3</w:t>
      </w:r>
      <w:bookmarkEnd w:id="44"/>
    </w:p>
    <w:p w14:paraId="09090167" w14:textId="3F0A28CE" w:rsidR="001D47B1" w:rsidRDefault="001D47B1" w:rsidP="00F43C7A">
      <w:pPr>
        <w:pStyle w:val="Heading3"/>
      </w:pPr>
      <w:bookmarkStart w:id="45" w:name="_Toc5863401"/>
      <w:bookmarkStart w:id="46" w:name="_Toc5963145"/>
      <w:bookmarkStart w:id="47" w:name="_Toc10639022"/>
      <w:r>
        <w:t>No b</w:t>
      </w:r>
      <w:r w:rsidRPr="00321AF8">
        <w:t>reach</w:t>
      </w:r>
      <w:r w:rsidR="00CB10B7">
        <w:t>—</w:t>
      </w:r>
      <w:r>
        <w:t>broadcast did not constitute political matter</w:t>
      </w:r>
      <w:bookmarkEnd w:id="45"/>
      <w:bookmarkEnd w:id="46"/>
      <w:bookmarkEnd w:id="47"/>
      <w:r>
        <w:t xml:space="preserve"> </w:t>
      </w:r>
    </w:p>
    <w:p w14:paraId="3987751B" w14:textId="77777777" w:rsidR="001D47B1" w:rsidRPr="00427FF4" w:rsidRDefault="001D47B1">
      <w:pPr>
        <w:pStyle w:val="BodySubHeader"/>
      </w:pPr>
      <w:r w:rsidRPr="00427FF4">
        <w:t xml:space="preserve">The broadcast </w:t>
      </w:r>
      <w:r w:rsidRPr="009E163D">
        <w:t>material</w:t>
      </w:r>
    </w:p>
    <w:p w14:paraId="1CA4587D" w14:textId="77777777" w:rsidR="001D47B1" w:rsidRDefault="001D47B1" w:rsidP="001D47B1">
      <w:r>
        <w:t>T</w:t>
      </w:r>
      <w:r w:rsidRPr="003F67F8">
        <w:t xml:space="preserve">he ACMA received a complaint </w:t>
      </w:r>
      <w:r>
        <w:t>about</w:t>
      </w:r>
      <w:r w:rsidRPr="003F67F8">
        <w:t xml:space="preserve"> an </w:t>
      </w:r>
      <w:r>
        <w:t>advertise</w:t>
      </w:r>
      <w:r w:rsidRPr="003F67F8">
        <w:t xml:space="preserve">ment </w:t>
      </w:r>
      <w:r>
        <w:t xml:space="preserve">for Godfreys Vacuum Cleaners broadcast on commercial television station TCN Sydney. </w:t>
      </w:r>
      <w:r w:rsidRPr="003F67F8">
        <w:t xml:space="preserve">The complainant </w:t>
      </w:r>
      <w:r>
        <w:t>was concerned that Godfreys were paid by the Labor Party to refer to Mr Tony Abbott, the then Leader of the Opposition, in a negative manner during the advertisement without announcing the required particulars at the end of the commercial.</w:t>
      </w:r>
    </w:p>
    <w:p w14:paraId="499981E2" w14:textId="2951EDA5" w:rsidR="00286BE4" w:rsidRDefault="001D47B1" w:rsidP="00286BE4">
      <w:r>
        <w:t>The advertisement promoted Godfreys Vacuum Cleaners</w:t>
      </w:r>
      <w:r w:rsidR="00161B85">
        <w:t xml:space="preserve">. </w:t>
      </w:r>
      <w:r w:rsidR="00286BE4">
        <w:t>The spokesman appeared to be wearing a blond wig and glasses to impersonate the then Prime Minister, Mr Kevin Rudd:</w:t>
      </w:r>
    </w:p>
    <w:p w14:paraId="1C8F85E0" w14:textId="37E8524B" w:rsidR="001D47B1" w:rsidRPr="00D66DF0" w:rsidRDefault="001D47B1" w:rsidP="001D47B1">
      <w:pPr>
        <w:ind w:left="284"/>
        <w:rPr>
          <w:sz w:val="18"/>
          <w:szCs w:val="18"/>
        </w:rPr>
      </w:pPr>
      <w:r w:rsidRPr="00D66DF0">
        <w:rPr>
          <w:b/>
          <w:sz w:val="18"/>
          <w:szCs w:val="18"/>
        </w:rPr>
        <w:t xml:space="preserve">Spokesman: </w:t>
      </w:r>
      <w:r w:rsidRPr="00D66DF0">
        <w:rPr>
          <w:sz w:val="18"/>
          <w:szCs w:val="18"/>
        </w:rPr>
        <w:t>Someone’s been a little negative lately</w:t>
      </w:r>
      <w:r w:rsidR="00CB10B7">
        <w:rPr>
          <w:sz w:val="18"/>
          <w:szCs w:val="18"/>
        </w:rPr>
        <w:t>,</w:t>
      </w:r>
      <w:r w:rsidRPr="00D66DF0">
        <w:rPr>
          <w:sz w:val="18"/>
          <w:szCs w:val="18"/>
        </w:rPr>
        <w:t xml:space="preserve"> Mr Abbott. Why don’t you be a little more positive</w:t>
      </w:r>
      <w:r w:rsidR="00CB10B7">
        <w:rPr>
          <w:sz w:val="18"/>
          <w:szCs w:val="18"/>
        </w:rPr>
        <w:t>,</w:t>
      </w:r>
      <w:r w:rsidRPr="00D66DF0">
        <w:rPr>
          <w:sz w:val="18"/>
          <w:szCs w:val="18"/>
        </w:rPr>
        <w:t xml:space="preserve"> Mr Abbott?</w:t>
      </w:r>
    </w:p>
    <w:p w14:paraId="490FB685" w14:textId="77777777" w:rsidR="001D47B1" w:rsidRPr="00D66DF0" w:rsidRDefault="001D47B1" w:rsidP="001D47B1">
      <w:pPr>
        <w:ind w:left="284"/>
        <w:rPr>
          <w:sz w:val="18"/>
          <w:szCs w:val="18"/>
        </w:rPr>
      </w:pPr>
      <w:r w:rsidRPr="00D66DF0">
        <w:rPr>
          <w:b/>
          <w:sz w:val="18"/>
          <w:szCs w:val="18"/>
        </w:rPr>
        <w:t xml:space="preserve">Narrator: </w:t>
      </w:r>
      <w:r w:rsidRPr="00D66DF0">
        <w:rPr>
          <w:sz w:val="18"/>
          <w:szCs w:val="18"/>
        </w:rPr>
        <w:t>It’s positively amazing.</w:t>
      </w:r>
    </w:p>
    <w:p w14:paraId="7AD9E57A" w14:textId="77777777" w:rsidR="001D47B1" w:rsidRPr="00D66DF0" w:rsidRDefault="001D47B1" w:rsidP="001D47B1">
      <w:pPr>
        <w:ind w:left="284"/>
        <w:rPr>
          <w:sz w:val="18"/>
          <w:szCs w:val="18"/>
        </w:rPr>
      </w:pPr>
      <w:r w:rsidRPr="00D66DF0">
        <w:rPr>
          <w:b/>
          <w:sz w:val="18"/>
          <w:szCs w:val="18"/>
        </w:rPr>
        <w:t>Spokesman:</w:t>
      </w:r>
      <w:r w:rsidRPr="00D66DF0">
        <w:rPr>
          <w:sz w:val="18"/>
          <w:szCs w:val="18"/>
        </w:rPr>
        <w:t xml:space="preserve"> Godfrey’s amazing $99 week-end.</w:t>
      </w:r>
    </w:p>
    <w:p w14:paraId="14457F5F" w14:textId="77777777" w:rsidR="001D47B1" w:rsidRPr="00D66DF0" w:rsidRDefault="001D47B1" w:rsidP="001D47B1">
      <w:pPr>
        <w:ind w:left="284"/>
        <w:rPr>
          <w:sz w:val="18"/>
          <w:szCs w:val="18"/>
        </w:rPr>
      </w:pPr>
      <w:r w:rsidRPr="00D66DF0">
        <w:rPr>
          <w:b/>
          <w:sz w:val="18"/>
          <w:szCs w:val="18"/>
        </w:rPr>
        <w:t>Narrator:</w:t>
      </w:r>
      <w:r w:rsidRPr="00D66DF0">
        <w:rPr>
          <w:sz w:val="18"/>
          <w:szCs w:val="18"/>
        </w:rPr>
        <w:t xml:space="preserve"> </w:t>
      </w:r>
      <w:r w:rsidRPr="00F43C7A">
        <w:rPr>
          <w:sz w:val="18"/>
          <w:szCs w:val="18"/>
        </w:rPr>
        <w:t>Hoover</w:t>
      </w:r>
      <w:r w:rsidRPr="00D66DF0">
        <w:rPr>
          <w:sz w:val="18"/>
          <w:szCs w:val="18"/>
        </w:rPr>
        <w:t xml:space="preserve"> bagless, half price $99, </w:t>
      </w:r>
      <w:r w:rsidRPr="00F43C7A">
        <w:rPr>
          <w:sz w:val="18"/>
          <w:szCs w:val="18"/>
        </w:rPr>
        <w:t>Philips</w:t>
      </w:r>
      <w:r w:rsidRPr="00D66DF0">
        <w:rPr>
          <w:sz w:val="18"/>
          <w:szCs w:val="18"/>
        </w:rPr>
        <w:t xml:space="preserve"> bagless half price $99, </w:t>
      </w:r>
      <w:r w:rsidRPr="00F43C7A">
        <w:rPr>
          <w:sz w:val="18"/>
          <w:szCs w:val="18"/>
        </w:rPr>
        <w:t>Bissell</w:t>
      </w:r>
      <w:r w:rsidRPr="00D66DF0">
        <w:rPr>
          <w:sz w:val="18"/>
          <w:szCs w:val="18"/>
        </w:rPr>
        <w:t xml:space="preserve"> Cordless $99, Shampooers $99.</w:t>
      </w:r>
    </w:p>
    <w:p w14:paraId="49341157" w14:textId="77777777" w:rsidR="001D47B1" w:rsidRPr="00D66DF0" w:rsidRDefault="001D47B1" w:rsidP="001D47B1">
      <w:pPr>
        <w:ind w:left="284"/>
        <w:rPr>
          <w:sz w:val="18"/>
          <w:szCs w:val="18"/>
        </w:rPr>
      </w:pPr>
      <w:r w:rsidRPr="00D66DF0">
        <w:rPr>
          <w:b/>
          <w:sz w:val="18"/>
          <w:szCs w:val="18"/>
        </w:rPr>
        <w:t>Spokesman</w:t>
      </w:r>
      <w:r w:rsidRPr="00880357">
        <w:rPr>
          <w:b/>
          <w:sz w:val="18"/>
          <w:szCs w:val="18"/>
        </w:rPr>
        <w:t xml:space="preserve">: </w:t>
      </w:r>
      <w:r w:rsidRPr="00D66DF0">
        <w:rPr>
          <w:sz w:val="18"/>
          <w:szCs w:val="18"/>
        </w:rPr>
        <w:t>Godfreys!</w:t>
      </w:r>
    </w:p>
    <w:p w14:paraId="6D8A086D" w14:textId="66A9E248" w:rsidR="001D47B1" w:rsidRPr="00D66DF0" w:rsidRDefault="001D47B1" w:rsidP="001D47B1">
      <w:pPr>
        <w:ind w:left="284"/>
        <w:rPr>
          <w:sz w:val="18"/>
          <w:szCs w:val="18"/>
        </w:rPr>
      </w:pPr>
      <w:r w:rsidRPr="00D66DF0">
        <w:rPr>
          <w:b/>
          <w:sz w:val="18"/>
          <w:szCs w:val="18"/>
        </w:rPr>
        <w:t>Narrator</w:t>
      </w:r>
      <w:r w:rsidRPr="00880357">
        <w:rPr>
          <w:b/>
          <w:sz w:val="18"/>
          <w:szCs w:val="18"/>
        </w:rPr>
        <w:t>:</w:t>
      </w:r>
      <w:r w:rsidRPr="00D66DF0">
        <w:rPr>
          <w:sz w:val="18"/>
          <w:szCs w:val="18"/>
        </w:rPr>
        <w:t xml:space="preserve"> And with every $99 cleaner</w:t>
      </w:r>
      <w:r w:rsidR="00CB10B7">
        <w:rPr>
          <w:sz w:val="18"/>
          <w:szCs w:val="18"/>
        </w:rPr>
        <w:t>,</w:t>
      </w:r>
      <w:r w:rsidRPr="00D66DF0">
        <w:rPr>
          <w:sz w:val="18"/>
          <w:szCs w:val="18"/>
        </w:rPr>
        <w:t xml:space="preserve"> get this steam mop free. Yeah, with every $99 cleaner get this steam mop free.</w:t>
      </w:r>
    </w:p>
    <w:p w14:paraId="637224EC" w14:textId="1E5AD899" w:rsidR="001D47B1" w:rsidRPr="00D66DF0" w:rsidRDefault="001D47B1" w:rsidP="001D47B1">
      <w:pPr>
        <w:ind w:left="284"/>
        <w:rPr>
          <w:sz w:val="18"/>
          <w:szCs w:val="18"/>
        </w:rPr>
      </w:pPr>
      <w:r w:rsidRPr="00D66DF0">
        <w:rPr>
          <w:b/>
          <w:sz w:val="18"/>
          <w:szCs w:val="18"/>
        </w:rPr>
        <w:t>Spokesman</w:t>
      </w:r>
      <w:r w:rsidRPr="00880357">
        <w:rPr>
          <w:b/>
          <w:sz w:val="18"/>
          <w:szCs w:val="18"/>
        </w:rPr>
        <w:t xml:space="preserve">: </w:t>
      </w:r>
      <w:r w:rsidRPr="00D66DF0">
        <w:rPr>
          <w:sz w:val="18"/>
          <w:szCs w:val="18"/>
        </w:rPr>
        <w:t>Godfrey’s amazing $99 week-end. This week-end</w:t>
      </w:r>
      <w:r w:rsidR="00CB10B7">
        <w:rPr>
          <w:sz w:val="18"/>
          <w:szCs w:val="18"/>
        </w:rPr>
        <w:t>,</w:t>
      </w:r>
      <w:r w:rsidRPr="00D66DF0">
        <w:rPr>
          <w:sz w:val="18"/>
          <w:szCs w:val="18"/>
        </w:rPr>
        <w:t xml:space="preserve"> Mr Abbott.</w:t>
      </w:r>
    </w:p>
    <w:p w14:paraId="5BCBF800" w14:textId="77777777" w:rsidR="001D47B1" w:rsidRPr="006C1F88" w:rsidRDefault="001D47B1">
      <w:pPr>
        <w:pStyle w:val="BodySubHeader"/>
      </w:pPr>
      <w:r w:rsidRPr="006C1F88">
        <w:t xml:space="preserve">The ACMA’s </w:t>
      </w:r>
      <w:r w:rsidRPr="009E163D">
        <w:t>findings</w:t>
      </w:r>
    </w:p>
    <w:p w14:paraId="3AF5FF2D" w14:textId="23D9A117" w:rsidR="001D47B1" w:rsidRDefault="001D47B1" w:rsidP="001D47B1">
      <w:r>
        <w:t>A</w:t>
      </w:r>
      <w:r w:rsidRPr="00C51B8C">
        <w:t>ny matter broadcast advocat</w:t>
      </w:r>
      <w:r w:rsidR="00614345">
        <w:t>ing</w:t>
      </w:r>
      <w:r w:rsidRPr="00C51B8C">
        <w:t xml:space="preserve"> a point of view </w:t>
      </w:r>
      <w:r w:rsidR="002F2808">
        <w:t xml:space="preserve">on a </w:t>
      </w:r>
      <w:r w:rsidRPr="00C51B8C">
        <w:t xml:space="preserve">government and its policies, or political parties and their policies, </w:t>
      </w:r>
      <w:r w:rsidR="002F2808">
        <w:t>can</w:t>
      </w:r>
      <w:r w:rsidR="002F2808" w:rsidRPr="00C51B8C">
        <w:t xml:space="preserve"> </w:t>
      </w:r>
      <w:r w:rsidRPr="00C51B8C">
        <w:t>fall within the</w:t>
      </w:r>
      <w:r>
        <w:t xml:space="preserve"> definition of political matter. </w:t>
      </w:r>
      <w:r w:rsidRPr="00C51B8C">
        <w:t>However, matter that simply promot</w:t>
      </w:r>
      <w:r>
        <w:t>es</w:t>
      </w:r>
      <w:r w:rsidRPr="00C51B8C">
        <w:t xml:space="preserve"> a product or service </w:t>
      </w:r>
      <w:r w:rsidR="002F2808">
        <w:t>does</w:t>
      </w:r>
      <w:r w:rsidR="002F2808" w:rsidRPr="00C51B8C">
        <w:t xml:space="preserve"> </w:t>
      </w:r>
      <w:r w:rsidRPr="00C51B8C">
        <w:t xml:space="preserve">not fall within the definition of </w:t>
      </w:r>
      <w:r w:rsidR="002F2808">
        <w:t>‘</w:t>
      </w:r>
      <w:r w:rsidRPr="00C51B8C">
        <w:t>political matter</w:t>
      </w:r>
      <w:r w:rsidR="002F2808">
        <w:t>’</w:t>
      </w:r>
      <w:r w:rsidRPr="00C51B8C">
        <w:t xml:space="preserve"> merely because it refers to something that is political. </w:t>
      </w:r>
    </w:p>
    <w:p w14:paraId="0A4B3FC3" w14:textId="6F05A6E0" w:rsidR="001D47B1" w:rsidRDefault="001D47B1" w:rsidP="001D47B1">
      <w:r>
        <w:t xml:space="preserve">The ACMA noted that the primary purpose of the advertisement was to promote vacuum cleaners. While the spokesman referred to the negativity of Mr Abbott, it was presented in a humorous style by impersonating the then Prime Minister, Mr Rudd. </w:t>
      </w:r>
      <w:r w:rsidR="002F2808">
        <w:t>T</w:t>
      </w:r>
      <w:r>
        <w:t xml:space="preserve">he ACMA did not consider that the advertisement participated </w:t>
      </w:r>
      <w:r w:rsidRPr="005A35C0">
        <w:t xml:space="preserve">in the political </w:t>
      </w:r>
      <w:r>
        <w:t>process</w:t>
      </w:r>
      <w:r w:rsidRPr="005A35C0">
        <w:t xml:space="preserve"> </w:t>
      </w:r>
      <w:r>
        <w:t xml:space="preserve">as it did not engage with, or allude to, any specific issue of a political nature or discuss </w:t>
      </w:r>
      <w:r w:rsidRPr="00D11EF3">
        <w:t>any political process or political matter</w:t>
      </w:r>
      <w:r>
        <w:t>. The light-hearted presentation of the advertisement indicated that it was not intended to be a serious comment on politics or the political process.</w:t>
      </w:r>
    </w:p>
    <w:p w14:paraId="6D232B51" w14:textId="1EC93E2D" w:rsidR="00E232A3" w:rsidRDefault="003C6CB7" w:rsidP="001D47B1">
      <w:r>
        <w:t>For these rea</w:t>
      </w:r>
      <w:r w:rsidR="00FF7E24">
        <w:t>s</w:t>
      </w:r>
      <w:r>
        <w:t>ons, t</w:t>
      </w:r>
      <w:r w:rsidR="001D47B1">
        <w:t xml:space="preserve">he ACMA found that the material broadcast did not constitute ‘political matter’. </w:t>
      </w:r>
    </w:p>
    <w:p w14:paraId="21A1FFE9" w14:textId="70BF37C8" w:rsidR="001D47B1" w:rsidRPr="009C07DA" w:rsidRDefault="00E232A3" w:rsidP="001D47B1">
      <w:pPr>
        <w:rPr>
          <w:rFonts w:cs="Arial"/>
          <w:b/>
          <w:sz w:val="28"/>
          <w:szCs w:val="28"/>
        </w:rPr>
      </w:pPr>
      <w:r w:rsidRPr="00A56A02">
        <w:rPr>
          <w:rFonts w:cs="Arial"/>
          <w:szCs w:val="20"/>
        </w:rPr>
        <w:t>The complete analysis in this investigation can be accessed in Investigation</w:t>
      </w:r>
      <w:r w:rsidR="00EC59C2" w:rsidRPr="00A56A02">
        <w:rPr>
          <w:rFonts w:cs="Arial"/>
          <w:szCs w:val="20"/>
        </w:rPr>
        <w:t xml:space="preserve"> </w:t>
      </w:r>
      <w:r w:rsidR="007B48A0" w:rsidRPr="00A56A02">
        <w:rPr>
          <w:rFonts w:cs="Arial"/>
          <w:szCs w:val="20"/>
        </w:rPr>
        <w:t>R</w:t>
      </w:r>
      <w:r w:rsidRPr="00A56A02">
        <w:rPr>
          <w:rFonts w:cs="Arial"/>
          <w:szCs w:val="20"/>
        </w:rPr>
        <w:t xml:space="preserve">eport </w:t>
      </w:r>
      <w:r w:rsidR="007B48A0" w:rsidRPr="00A56A02">
        <w:rPr>
          <w:rFonts w:cs="Arial"/>
          <w:szCs w:val="20"/>
        </w:rPr>
        <w:t>N</w:t>
      </w:r>
      <w:r w:rsidR="00082DCE" w:rsidRPr="00A56A02">
        <w:rPr>
          <w:rFonts w:cs="Arial"/>
          <w:szCs w:val="20"/>
        </w:rPr>
        <w:t>o.</w:t>
      </w:r>
      <w:r w:rsidR="007B48A0" w:rsidRPr="00A56A02">
        <w:rPr>
          <w:rFonts w:cs="Arial"/>
          <w:szCs w:val="20"/>
        </w:rPr>
        <w:t xml:space="preserve"> </w:t>
      </w:r>
      <w:r w:rsidR="00082DCE" w:rsidRPr="00A56A02">
        <w:rPr>
          <w:rFonts w:cs="Arial"/>
          <w:szCs w:val="20"/>
        </w:rPr>
        <w:t>3086</w:t>
      </w:r>
      <w:r w:rsidRPr="00A56A02">
        <w:rPr>
          <w:rFonts w:cs="Arial"/>
          <w:szCs w:val="20"/>
        </w:rPr>
        <w:t xml:space="preserve"> at </w:t>
      </w:r>
      <w:hyperlink r:id="rId38" w:history="1">
        <w:r w:rsidRPr="00A56A02">
          <w:rPr>
            <w:rStyle w:val="Hyperlink"/>
            <w:rFonts w:cs="Arial"/>
            <w:szCs w:val="20"/>
          </w:rPr>
          <w:t>acma.gov.au</w:t>
        </w:r>
      </w:hyperlink>
      <w:r w:rsidR="009C07DA">
        <w:rPr>
          <w:rFonts w:cs="Arial"/>
          <w:szCs w:val="20"/>
        </w:rPr>
        <w:t>.</w:t>
      </w:r>
      <w:r w:rsidR="001D47B1" w:rsidRPr="001638A2">
        <w:rPr>
          <w:rFonts w:cs="Arial"/>
          <w:b/>
          <w:sz w:val="28"/>
          <w:szCs w:val="28"/>
        </w:rPr>
        <w:br w:type="page"/>
      </w:r>
    </w:p>
    <w:p w14:paraId="5EE34264" w14:textId="77777777" w:rsidR="001D47B1" w:rsidRPr="00DB1AA8" w:rsidRDefault="001D47B1" w:rsidP="001D47B1">
      <w:pPr>
        <w:pStyle w:val="Heading2"/>
      </w:pPr>
      <w:bookmarkStart w:id="48" w:name="_Toc10639023"/>
      <w:r w:rsidRPr="000606EE">
        <w:lastRenderedPageBreak/>
        <w:t>Case stud</w:t>
      </w:r>
      <w:r>
        <w:t>y 4</w:t>
      </w:r>
      <w:bookmarkEnd w:id="48"/>
    </w:p>
    <w:p w14:paraId="4F76F1BC" w14:textId="133DFD36" w:rsidR="001D47B1" w:rsidRDefault="001D47B1" w:rsidP="00F43C7A">
      <w:pPr>
        <w:pStyle w:val="Heading3"/>
      </w:pPr>
      <w:bookmarkStart w:id="49" w:name="_Toc5863403"/>
      <w:bookmarkStart w:id="50" w:name="_Toc5963147"/>
      <w:bookmarkStart w:id="51" w:name="_Toc10639024"/>
      <w:r>
        <w:t>No b</w:t>
      </w:r>
      <w:r w:rsidRPr="00321AF8">
        <w:t>reach</w:t>
      </w:r>
      <w:r w:rsidR="00CF6C39">
        <w:t>—</w:t>
      </w:r>
      <w:r>
        <w:t>political matter was not broadcast at the request of another person</w:t>
      </w:r>
      <w:bookmarkEnd w:id="49"/>
      <w:bookmarkEnd w:id="50"/>
      <w:bookmarkEnd w:id="51"/>
      <w:r>
        <w:t xml:space="preserve"> </w:t>
      </w:r>
    </w:p>
    <w:p w14:paraId="2124995B" w14:textId="77777777" w:rsidR="001D47B1" w:rsidRPr="006C1F88" w:rsidRDefault="001D47B1">
      <w:pPr>
        <w:pStyle w:val="BodySubHeader"/>
      </w:pPr>
      <w:r w:rsidRPr="006C1F88">
        <w:t xml:space="preserve">The broadcast </w:t>
      </w:r>
      <w:r w:rsidRPr="009E163D">
        <w:t>material</w:t>
      </w:r>
    </w:p>
    <w:p w14:paraId="00B01BB3" w14:textId="333C7815" w:rsidR="001E6445" w:rsidRDefault="001E6445" w:rsidP="00B55A49">
      <w:r>
        <w:t xml:space="preserve">The material was broadcast immediately before commencement of the second half in a live rugby league program, as the teams were running onto the field. </w:t>
      </w:r>
    </w:p>
    <w:p w14:paraId="7F2343BE" w14:textId="77777777" w:rsidR="001E6445" w:rsidRDefault="001E6445" w:rsidP="00B55A49">
      <w:r>
        <w:t>The audio was as follows:</w:t>
      </w:r>
    </w:p>
    <w:p w14:paraId="6948059A" w14:textId="72CBDAFB" w:rsidR="00880357" w:rsidRDefault="00F04163" w:rsidP="00B55A49">
      <w:pPr>
        <w:ind w:left="284"/>
        <w:rPr>
          <w:b/>
          <w:sz w:val="18"/>
          <w:szCs w:val="18"/>
        </w:rPr>
      </w:pPr>
      <w:r>
        <w:rPr>
          <w:b/>
          <w:sz w:val="18"/>
          <w:szCs w:val="18"/>
        </w:rPr>
        <w:t>Commentator</w:t>
      </w:r>
      <w:r w:rsidR="009C07DA">
        <w:rPr>
          <w:b/>
          <w:sz w:val="18"/>
          <w:szCs w:val="18"/>
        </w:rPr>
        <w:t xml:space="preserve"> </w:t>
      </w:r>
      <w:r>
        <w:rPr>
          <w:b/>
          <w:sz w:val="18"/>
          <w:szCs w:val="18"/>
        </w:rPr>
        <w:t>1</w:t>
      </w:r>
      <w:r w:rsidR="00BA4BE6" w:rsidRPr="00880357">
        <w:rPr>
          <w:b/>
          <w:sz w:val="18"/>
          <w:szCs w:val="18"/>
        </w:rPr>
        <w:t xml:space="preserve">: </w:t>
      </w:r>
    </w:p>
    <w:p w14:paraId="7B3422F8" w14:textId="60522557" w:rsidR="001E6445" w:rsidRPr="00561B82" w:rsidRDefault="001E6445" w:rsidP="00B55A49">
      <w:pPr>
        <w:ind w:left="284"/>
        <w:rPr>
          <w:sz w:val="18"/>
          <w:szCs w:val="18"/>
        </w:rPr>
      </w:pPr>
      <w:r w:rsidRPr="00561B82">
        <w:rPr>
          <w:sz w:val="18"/>
          <w:szCs w:val="18"/>
        </w:rPr>
        <w:t xml:space="preserve">Back at the football stadium, finals football continues. The first preliminary final, with Manly leading 16 to 4. Forty minutes of football, perhaps, left. The Eagles are rocking. </w:t>
      </w:r>
      <w:r w:rsidRPr="0051003E">
        <w:rPr>
          <w:sz w:val="18"/>
          <w:szCs w:val="18"/>
        </w:rPr>
        <w:t xml:space="preserve">Not only has the Manly Football Club been doing great work on the field this season, they’ve also been very busy working with the community off the field. With significant funding from the Manly Leagues Club and Harbord Diggers, for whom a lot of these kids played, the Sea Eagles established The Eagle’s Nest, </w:t>
      </w:r>
      <w:r w:rsidRPr="00227E88">
        <w:rPr>
          <w:sz w:val="18"/>
          <w:szCs w:val="18"/>
        </w:rPr>
        <w:t>in conjunction with the Royal Far West Health Service. Eagle’s Nest is a multi-purpose room where staff run adolescent mentoring programs with the assistance of the Manly players. The ongoing financial assistance of registered clubs across Australia ensure</w:t>
      </w:r>
      <w:r>
        <w:rPr>
          <w:sz w:val="18"/>
          <w:szCs w:val="18"/>
        </w:rPr>
        <w:t xml:space="preserve"> [sic]</w:t>
      </w:r>
      <w:r w:rsidRPr="00227E88">
        <w:rPr>
          <w:sz w:val="18"/>
          <w:szCs w:val="18"/>
        </w:rPr>
        <w:t xml:space="preserve"> this, and many other worthwhile programs, continue, but they are under threat from the new untested technology the Federal Government plans to introduce. Funding from clubs is the lifeblood of many community programs and initiatives that we all enjoy. So for more information go to wontworkwillhurt.com.au. </w:t>
      </w:r>
      <w:r w:rsidRPr="00561B82">
        <w:rPr>
          <w:sz w:val="18"/>
          <w:szCs w:val="18"/>
        </w:rPr>
        <w:t>As Manly come back in front of 31,894 the crowd figure.</w:t>
      </w:r>
      <w:r>
        <w:rPr>
          <w:sz w:val="18"/>
          <w:szCs w:val="18"/>
        </w:rPr>
        <w:br/>
      </w:r>
      <w:r w:rsidRPr="00561B82">
        <w:rPr>
          <w:sz w:val="18"/>
          <w:szCs w:val="18"/>
        </w:rPr>
        <w:t>At</w:t>
      </w:r>
      <w:r>
        <w:rPr>
          <w:sz w:val="18"/>
          <w:szCs w:val="18"/>
        </w:rPr>
        <w:t> </w:t>
      </w:r>
      <w:r w:rsidRPr="00561B82">
        <w:rPr>
          <w:sz w:val="18"/>
          <w:szCs w:val="18"/>
        </w:rPr>
        <w:t>16</w:t>
      </w:r>
      <w:r w:rsidR="00E27D9F">
        <w:rPr>
          <w:sz w:val="18"/>
          <w:szCs w:val="18"/>
        </w:rPr>
        <w:t>–</w:t>
      </w:r>
      <w:r w:rsidRPr="00561B82">
        <w:rPr>
          <w:sz w:val="18"/>
          <w:szCs w:val="18"/>
        </w:rPr>
        <w:t>4. Well, you’re very much a part of the club industry these days</w:t>
      </w:r>
      <w:r w:rsidR="009C07DA">
        <w:rPr>
          <w:sz w:val="18"/>
          <w:szCs w:val="18"/>
        </w:rPr>
        <w:t xml:space="preserve"> … </w:t>
      </w:r>
      <w:r w:rsidRPr="00561B82">
        <w:rPr>
          <w:sz w:val="18"/>
          <w:szCs w:val="18"/>
        </w:rPr>
        <w:t>and it is true, they do a lot for the community. And if they keep hitting the clubs, the ones who are going to suffer are the ones at the bottom of the ladder.</w:t>
      </w:r>
    </w:p>
    <w:p w14:paraId="12085729" w14:textId="4A6F54E5" w:rsidR="00495C5D" w:rsidRDefault="00F04163" w:rsidP="00B55A49">
      <w:pPr>
        <w:ind w:left="284"/>
        <w:rPr>
          <w:sz w:val="18"/>
          <w:szCs w:val="18"/>
        </w:rPr>
      </w:pPr>
      <w:bookmarkStart w:id="52" w:name="_Hlk534967699"/>
      <w:r>
        <w:rPr>
          <w:b/>
          <w:sz w:val="18"/>
          <w:szCs w:val="18"/>
        </w:rPr>
        <w:t>Commentator</w:t>
      </w:r>
      <w:r w:rsidR="009C07DA">
        <w:rPr>
          <w:b/>
          <w:sz w:val="18"/>
          <w:szCs w:val="18"/>
        </w:rPr>
        <w:t xml:space="preserve"> </w:t>
      </w:r>
      <w:r>
        <w:rPr>
          <w:b/>
          <w:sz w:val="18"/>
          <w:szCs w:val="18"/>
        </w:rPr>
        <w:t>2</w:t>
      </w:r>
      <w:bookmarkEnd w:id="52"/>
      <w:r w:rsidR="00BA4BE6" w:rsidRPr="00880357">
        <w:rPr>
          <w:b/>
          <w:sz w:val="18"/>
          <w:szCs w:val="18"/>
        </w:rPr>
        <w:t>:</w:t>
      </w:r>
      <w:r w:rsidR="00BA4BE6">
        <w:rPr>
          <w:sz w:val="18"/>
          <w:szCs w:val="18"/>
        </w:rPr>
        <w:t xml:space="preserve"> </w:t>
      </w:r>
    </w:p>
    <w:p w14:paraId="071FF791" w14:textId="26EDF623" w:rsidR="001E6445" w:rsidRPr="00561B82" w:rsidRDefault="001E6445" w:rsidP="00B55A49">
      <w:pPr>
        <w:ind w:left="284"/>
        <w:rPr>
          <w:sz w:val="18"/>
          <w:szCs w:val="18"/>
        </w:rPr>
      </w:pPr>
      <w:r w:rsidRPr="00561B82">
        <w:rPr>
          <w:sz w:val="18"/>
          <w:szCs w:val="18"/>
        </w:rPr>
        <w:t>Yes, the proposed mandatory pre-commitment that they’ve put forward is a rubbish policy. It won’t work, it won’t solve the problem they say they’re going to target, and it will do irreparable damage to the hospitality industry. It won’t work, and it will hurt. You’re 100</w:t>
      </w:r>
      <w:r w:rsidR="00CF6C39">
        <w:rPr>
          <w:sz w:val="18"/>
          <w:szCs w:val="18"/>
        </w:rPr>
        <w:t xml:space="preserve"> per cent</w:t>
      </w:r>
      <w:r w:rsidRPr="00561B82">
        <w:rPr>
          <w:sz w:val="18"/>
          <w:szCs w:val="18"/>
        </w:rPr>
        <w:t xml:space="preserve"> right. I’ve never seen a more stupid </w:t>
      </w:r>
      <w:r>
        <w:rPr>
          <w:sz w:val="18"/>
          <w:szCs w:val="18"/>
        </w:rPr>
        <w:t xml:space="preserve">policy in all my life. </w:t>
      </w:r>
    </w:p>
    <w:p w14:paraId="70693390" w14:textId="718BF124" w:rsidR="001E6445" w:rsidRPr="00561B82" w:rsidRDefault="001E6445" w:rsidP="00B55A49">
      <w:pPr>
        <w:ind w:left="284"/>
        <w:rPr>
          <w:sz w:val="18"/>
          <w:szCs w:val="18"/>
        </w:rPr>
      </w:pPr>
      <w:r w:rsidRPr="00561B82">
        <w:rPr>
          <w:sz w:val="18"/>
          <w:szCs w:val="18"/>
        </w:rPr>
        <w:t>[Whistle blows and play in second half begins</w:t>
      </w:r>
      <w:r w:rsidR="00586BE5">
        <w:rPr>
          <w:sz w:val="18"/>
          <w:szCs w:val="18"/>
        </w:rPr>
        <w:t>.</w:t>
      </w:r>
      <w:r w:rsidRPr="00561B82">
        <w:rPr>
          <w:sz w:val="18"/>
          <w:szCs w:val="18"/>
        </w:rPr>
        <w:t>]</w:t>
      </w:r>
    </w:p>
    <w:p w14:paraId="5C706D99" w14:textId="237842DF" w:rsidR="00880357" w:rsidRDefault="00F04163" w:rsidP="00B55A49">
      <w:pPr>
        <w:ind w:left="284"/>
        <w:rPr>
          <w:sz w:val="18"/>
          <w:szCs w:val="18"/>
        </w:rPr>
      </w:pPr>
      <w:r>
        <w:rPr>
          <w:b/>
          <w:sz w:val="18"/>
          <w:szCs w:val="18"/>
        </w:rPr>
        <w:t>Commentator</w:t>
      </w:r>
      <w:r w:rsidR="009C07DA">
        <w:rPr>
          <w:b/>
          <w:sz w:val="18"/>
          <w:szCs w:val="18"/>
        </w:rPr>
        <w:t xml:space="preserve"> </w:t>
      </w:r>
      <w:r>
        <w:rPr>
          <w:b/>
          <w:sz w:val="18"/>
          <w:szCs w:val="18"/>
        </w:rPr>
        <w:t>1</w:t>
      </w:r>
      <w:r w:rsidR="000D6134" w:rsidRPr="000B0762">
        <w:rPr>
          <w:b/>
          <w:sz w:val="18"/>
          <w:szCs w:val="18"/>
        </w:rPr>
        <w:t>:</w:t>
      </w:r>
      <w:r w:rsidR="000D6134">
        <w:rPr>
          <w:sz w:val="18"/>
          <w:szCs w:val="18"/>
        </w:rPr>
        <w:t xml:space="preserve"> </w:t>
      </w:r>
    </w:p>
    <w:p w14:paraId="131C2660" w14:textId="1FE62D9C" w:rsidR="001E6445" w:rsidRDefault="001E6445" w:rsidP="00B55A49">
      <w:pPr>
        <w:ind w:left="284"/>
        <w:rPr>
          <w:sz w:val="18"/>
          <w:szCs w:val="18"/>
        </w:rPr>
      </w:pPr>
      <w:r w:rsidRPr="00561B82">
        <w:rPr>
          <w:sz w:val="18"/>
          <w:szCs w:val="18"/>
        </w:rPr>
        <w:t xml:space="preserve">Well, that’s an endorsement. </w:t>
      </w:r>
    </w:p>
    <w:p w14:paraId="1DB8F2B9" w14:textId="209FDB87" w:rsidR="001E6445" w:rsidRPr="002E1B06" w:rsidRDefault="001E6445" w:rsidP="00B55A49">
      <w:r>
        <w:t>There was also a visual on screen ‘</w:t>
      </w:r>
      <w:r w:rsidR="00FE1F65">
        <w:t xml:space="preserve">wontworkwillhurt.com.au’ </w:t>
      </w:r>
      <w:r>
        <w:t>while part of the above was being broadcast, over vision of the teams running out onto the field for the second half of the match</w:t>
      </w:r>
      <w:r w:rsidR="00FE1F65">
        <w:t>.</w:t>
      </w:r>
    </w:p>
    <w:p w14:paraId="5B5BC946" w14:textId="77777777" w:rsidR="001D47B1" w:rsidRPr="006C1F88" w:rsidRDefault="001D47B1">
      <w:pPr>
        <w:pStyle w:val="BodySubHeader"/>
      </w:pPr>
      <w:r w:rsidRPr="006C1F88">
        <w:t xml:space="preserve">The </w:t>
      </w:r>
      <w:r w:rsidRPr="009E163D">
        <w:t>ACMA’s</w:t>
      </w:r>
      <w:r w:rsidRPr="006C1F88">
        <w:t xml:space="preserve"> findings</w:t>
      </w:r>
    </w:p>
    <w:p w14:paraId="3B345088" w14:textId="71A0A088" w:rsidR="00B55A49" w:rsidRDefault="00B55A49" w:rsidP="00B55A49">
      <w:r>
        <w:t xml:space="preserve">The ACMA found that </w:t>
      </w:r>
      <w:r w:rsidR="00FF7E24">
        <w:t>m</w:t>
      </w:r>
      <w:r>
        <w:t xml:space="preserve">andatory </w:t>
      </w:r>
      <w:r w:rsidR="00FF7E24">
        <w:t>p</w:t>
      </w:r>
      <w:r>
        <w:t>re</w:t>
      </w:r>
      <w:r w:rsidR="001523F9">
        <w:t>-</w:t>
      </w:r>
      <w:r w:rsidR="00FF7E24">
        <w:t>c</w:t>
      </w:r>
      <w:r w:rsidR="001523F9">
        <w:t>ommitment (MPC)</w:t>
      </w:r>
      <w:r w:rsidR="00CB6DDA">
        <w:t xml:space="preserve"> for poker machine play</w:t>
      </w:r>
      <w:r w:rsidRPr="00C04AB8">
        <w:t xml:space="preserve"> had been a controversial topic for several months at the time of the broadcast</w:t>
      </w:r>
      <w:r>
        <w:t xml:space="preserve"> and was the subject of proposed Federal Government legislation</w:t>
      </w:r>
      <w:r w:rsidRPr="00C04AB8">
        <w:t>. Accordingly, the ACMA consider</w:t>
      </w:r>
      <w:r w:rsidR="001523F9">
        <w:t>ed</w:t>
      </w:r>
      <w:r w:rsidRPr="00C04AB8">
        <w:t xml:space="preserve"> that MPC </w:t>
      </w:r>
      <w:r>
        <w:t xml:space="preserve">was a political issue at that time. While the material broadcast contained information, such as details of the Eagle’s Nest project, it also sought to influence viewers to oppose </w:t>
      </w:r>
      <w:r w:rsidRPr="00C04AB8">
        <w:t>MPC</w:t>
      </w:r>
      <w:r>
        <w:t>. The ACMA therefore consider</w:t>
      </w:r>
      <w:r w:rsidR="001523F9">
        <w:t>ed</w:t>
      </w:r>
      <w:r>
        <w:t xml:space="preserve"> that the material in the broadcast relating to MPC constituted political matter. </w:t>
      </w:r>
    </w:p>
    <w:p w14:paraId="7757B55C" w14:textId="55875D96" w:rsidR="001523F9" w:rsidRDefault="00350F8B" w:rsidP="00B55A49">
      <w:pPr>
        <w:rPr>
          <w:rFonts w:cs="Arial"/>
        </w:rPr>
      </w:pPr>
      <w:r>
        <w:rPr>
          <w:rFonts w:cs="Arial"/>
        </w:rPr>
        <w:t xml:space="preserve">Having carefully examined </w:t>
      </w:r>
      <w:r w:rsidR="00F04163">
        <w:rPr>
          <w:rFonts w:cs="Arial"/>
        </w:rPr>
        <w:t xml:space="preserve">the </w:t>
      </w:r>
      <w:r>
        <w:rPr>
          <w:rFonts w:cs="Arial"/>
        </w:rPr>
        <w:t>sequence of events</w:t>
      </w:r>
      <w:r w:rsidR="00457D23">
        <w:rPr>
          <w:rFonts w:cs="Arial"/>
        </w:rPr>
        <w:t xml:space="preserve"> concerning communications between the licensee (Nine), Clubs Australia/Clubs NSW</w:t>
      </w:r>
      <w:r>
        <w:rPr>
          <w:rFonts w:cs="Arial"/>
        </w:rPr>
        <w:t>,</w:t>
      </w:r>
      <w:r w:rsidR="00457D23">
        <w:rPr>
          <w:rFonts w:cs="Arial"/>
        </w:rPr>
        <w:t xml:space="preserve"> the National Rugby League </w:t>
      </w:r>
      <w:r w:rsidR="00457D23">
        <w:rPr>
          <w:rFonts w:cs="Arial"/>
        </w:rPr>
        <w:lastRenderedPageBreak/>
        <w:t>(NRL) and Manly-Warringah Sea Eagles Limited,</w:t>
      </w:r>
      <w:r>
        <w:rPr>
          <w:rFonts w:cs="Arial"/>
        </w:rPr>
        <w:t xml:space="preserve"> </w:t>
      </w:r>
      <w:r w:rsidR="00457D23">
        <w:rPr>
          <w:rFonts w:cs="Arial"/>
        </w:rPr>
        <w:t xml:space="preserve">the ACMA concluded </w:t>
      </w:r>
      <w:r>
        <w:rPr>
          <w:rFonts w:cs="Arial"/>
        </w:rPr>
        <w:t>that it was Nine, not any other person, which took the initiative that led to the broadcast of the impugned material, and that the contribution of others (Manly-Warringah Sea Eagles Limited, Clubs NSW/Clubs Australia and the NRL) was at the request of Nine, not the other way round.</w:t>
      </w:r>
    </w:p>
    <w:p w14:paraId="219B4B4D" w14:textId="7399A664" w:rsidR="00982D90" w:rsidRDefault="00AD7A34" w:rsidP="00EF33CC">
      <w:r>
        <w:t>The ACMA also noted that whilst t</w:t>
      </w:r>
      <w:r w:rsidR="00982D90">
        <w:t xml:space="preserve">here </w:t>
      </w:r>
      <w:r>
        <w:t>wa</w:t>
      </w:r>
      <w:r w:rsidR="00982D90">
        <w:t xml:space="preserve">s no prohibition on a licensee running its own political campaign, the licensee did not make clear in the broadcast that the script had been prepared by Nine management and was broadcast at the initiative of Nine management. Nor did the licensee make clear that the website to which it directed viewers for ‘more information’ was a website of a campaign funded by Clubs Australia and other industry associations which considered that their revenue would be negatively affected by the introduction of MPC. </w:t>
      </w:r>
    </w:p>
    <w:p w14:paraId="4CE68814" w14:textId="57AA2AB2" w:rsidR="00440EAD" w:rsidRPr="00A56A02" w:rsidRDefault="00E232A3" w:rsidP="004D71AB">
      <w:pPr>
        <w:keepNext/>
        <w:spacing w:before="320" w:after="60"/>
        <w:outlineLvl w:val="1"/>
        <w:rPr>
          <w:rFonts w:cs="Arial"/>
          <w:szCs w:val="20"/>
        </w:rPr>
      </w:pPr>
      <w:r w:rsidRPr="00A56A02">
        <w:rPr>
          <w:rFonts w:cs="Arial"/>
          <w:szCs w:val="20"/>
        </w:rPr>
        <w:t xml:space="preserve">The complete analysis in this investigation can be accessed in Investigation </w:t>
      </w:r>
      <w:r w:rsidR="007B48A0" w:rsidRPr="00A56A02">
        <w:rPr>
          <w:rFonts w:cs="Arial"/>
          <w:szCs w:val="20"/>
        </w:rPr>
        <w:t>R</w:t>
      </w:r>
      <w:r w:rsidRPr="00A56A02">
        <w:rPr>
          <w:rFonts w:cs="Arial"/>
          <w:szCs w:val="20"/>
        </w:rPr>
        <w:t xml:space="preserve">eport </w:t>
      </w:r>
      <w:r w:rsidR="007B48A0" w:rsidRPr="00A56A02">
        <w:rPr>
          <w:rFonts w:cs="Arial"/>
          <w:szCs w:val="20"/>
        </w:rPr>
        <w:t>N</w:t>
      </w:r>
      <w:r w:rsidR="008E5CEF" w:rsidRPr="00A56A02">
        <w:rPr>
          <w:rFonts w:cs="Arial"/>
          <w:szCs w:val="20"/>
        </w:rPr>
        <w:t>o. 2686</w:t>
      </w:r>
      <w:r w:rsidRPr="00A56A02">
        <w:rPr>
          <w:rFonts w:cs="Arial"/>
          <w:szCs w:val="20"/>
        </w:rPr>
        <w:t xml:space="preserve"> at </w:t>
      </w:r>
      <w:hyperlink r:id="rId39" w:history="1">
        <w:r w:rsidRPr="00A56A02">
          <w:rPr>
            <w:rStyle w:val="Hyperlink"/>
            <w:rFonts w:cs="Arial"/>
            <w:szCs w:val="20"/>
          </w:rPr>
          <w:t>acma.gov.au</w:t>
        </w:r>
      </w:hyperlink>
      <w:r w:rsidR="009C07DA">
        <w:rPr>
          <w:rFonts w:cs="Arial"/>
          <w:szCs w:val="20"/>
        </w:rPr>
        <w:t>.</w:t>
      </w:r>
    </w:p>
    <w:p w14:paraId="619A21A1" w14:textId="77777777" w:rsidR="00440EAD" w:rsidRDefault="00440EAD">
      <w:pPr>
        <w:spacing w:after="0" w:line="240" w:lineRule="auto"/>
        <w:rPr>
          <w:rFonts w:cs="Arial"/>
          <w:i/>
          <w:szCs w:val="20"/>
        </w:rPr>
      </w:pPr>
      <w:r>
        <w:rPr>
          <w:rFonts w:cs="Arial"/>
          <w:i/>
          <w:szCs w:val="20"/>
        </w:rPr>
        <w:br w:type="page"/>
      </w:r>
    </w:p>
    <w:p w14:paraId="2E9F7D2D" w14:textId="7E361DAF" w:rsidR="002C15F2" w:rsidRPr="00DB1AA8" w:rsidRDefault="002C15F2" w:rsidP="002C15F2">
      <w:pPr>
        <w:pStyle w:val="Heading2"/>
      </w:pPr>
      <w:bookmarkStart w:id="53" w:name="_Case_study_5"/>
      <w:bookmarkStart w:id="54" w:name="_Toc10639025"/>
      <w:bookmarkEnd w:id="53"/>
      <w:r w:rsidRPr="000606EE">
        <w:lastRenderedPageBreak/>
        <w:t>Case stud</w:t>
      </w:r>
      <w:r>
        <w:t>y 5</w:t>
      </w:r>
      <w:bookmarkEnd w:id="54"/>
    </w:p>
    <w:p w14:paraId="3791E5B0" w14:textId="1B1B03FB" w:rsidR="002C15F2" w:rsidRDefault="002C15F2" w:rsidP="002C15F2">
      <w:pPr>
        <w:pStyle w:val="Heading3"/>
      </w:pPr>
      <w:bookmarkStart w:id="55" w:name="_Toc5863405"/>
      <w:bookmarkStart w:id="56" w:name="_Toc5963149"/>
      <w:bookmarkStart w:id="57" w:name="_Toc10639026"/>
      <w:r>
        <w:t>No b</w:t>
      </w:r>
      <w:r w:rsidRPr="00321AF8">
        <w:t>reach</w:t>
      </w:r>
      <w:r>
        <w:t>—</w:t>
      </w:r>
      <w:r w:rsidR="00214980">
        <w:t>political</w:t>
      </w:r>
      <w:r w:rsidR="00F74379">
        <w:t xml:space="preserve"> matter was </w:t>
      </w:r>
      <w:r w:rsidR="00FC571C">
        <w:t xml:space="preserve">not an election advertisement broadcast during the ‘blackout period’ </w:t>
      </w:r>
      <w:r w:rsidR="00214980">
        <w:t xml:space="preserve">and </w:t>
      </w:r>
      <w:r>
        <w:t>was not broadcast at the request of another person</w:t>
      </w:r>
      <w:bookmarkEnd w:id="55"/>
      <w:bookmarkEnd w:id="56"/>
      <w:bookmarkEnd w:id="57"/>
      <w:r>
        <w:t xml:space="preserve"> </w:t>
      </w:r>
    </w:p>
    <w:p w14:paraId="2705E5EA" w14:textId="77777777" w:rsidR="00214980" w:rsidRPr="006C1F88" w:rsidRDefault="00214980" w:rsidP="00214980">
      <w:pPr>
        <w:pStyle w:val="BodySubHeader"/>
      </w:pPr>
      <w:r w:rsidRPr="006C1F88">
        <w:t xml:space="preserve">The broadcast </w:t>
      </w:r>
      <w:r w:rsidRPr="009E163D">
        <w:t>material</w:t>
      </w:r>
    </w:p>
    <w:p w14:paraId="50D6481D" w14:textId="3634C5A8" w:rsidR="00E232A3" w:rsidRDefault="00CF0DB6" w:rsidP="002D7C25">
      <w:pPr>
        <w:keepNext/>
        <w:outlineLvl w:val="1"/>
      </w:pPr>
      <w:r>
        <w:t xml:space="preserve">The content </w:t>
      </w:r>
      <w:r w:rsidR="00274951">
        <w:t xml:space="preserve">which received a </w:t>
      </w:r>
      <w:r>
        <w:t>complain</w:t>
      </w:r>
      <w:r w:rsidR="00274951">
        <w:t>t</w:t>
      </w:r>
      <w:r>
        <w:t xml:space="preserve"> was two short recordings of what were presented to be election advertisements for the</w:t>
      </w:r>
      <w:r w:rsidR="00F64D94">
        <w:t xml:space="preserve"> </w:t>
      </w:r>
      <w:r w:rsidR="001070C9">
        <w:t>then</w:t>
      </w:r>
      <w:r>
        <w:t xml:space="preserve"> Prime Minister of Australia</w:t>
      </w:r>
      <w:r w:rsidR="00122369">
        <w:t xml:space="preserve">, Mr </w:t>
      </w:r>
      <w:r w:rsidR="001070C9">
        <w:t xml:space="preserve">Malcolm </w:t>
      </w:r>
      <w:r w:rsidR="00122369">
        <w:t>Turnbull</w:t>
      </w:r>
      <w:r w:rsidR="001070C9">
        <w:t xml:space="preserve"> MP</w:t>
      </w:r>
      <w:r>
        <w:t>.</w:t>
      </w:r>
      <w:r w:rsidR="00245981">
        <w:t xml:space="preserve"> The</w:t>
      </w:r>
      <w:r w:rsidR="00861480">
        <w:t xml:space="preserve"> recordings, which were comedic in nature, </w:t>
      </w:r>
      <w:r w:rsidR="00245981">
        <w:t xml:space="preserve">were voiced by a </w:t>
      </w:r>
      <w:r w:rsidR="007E3611">
        <w:t>comedian</w:t>
      </w:r>
      <w:r w:rsidR="00245981">
        <w:t xml:space="preserve"> who sounded similar to </w:t>
      </w:r>
      <w:r w:rsidR="00122369">
        <w:t>Mr Turnbull</w:t>
      </w:r>
      <w:r w:rsidR="00245981">
        <w:t>.</w:t>
      </w:r>
    </w:p>
    <w:p w14:paraId="4A845F1B" w14:textId="7C4CAFF6" w:rsidR="00E31A32" w:rsidRDefault="00F552D1" w:rsidP="00BF2B19">
      <w:pPr>
        <w:pStyle w:val="ACMABodyText"/>
        <w:rPr>
          <w:lang w:eastAsia="en-AU"/>
        </w:rPr>
      </w:pPr>
      <w:r>
        <w:t>The recordings were broadcast the day before and</w:t>
      </w:r>
      <w:r w:rsidR="004352A9">
        <w:t xml:space="preserve"> on</w:t>
      </w:r>
      <w:r>
        <w:t xml:space="preserve"> the day of the</w:t>
      </w:r>
      <w:r w:rsidR="004352A9">
        <w:t xml:space="preserve"> 2016</w:t>
      </w:r>
      <w:r>
        <w:t xml:space="preserve"> federal election.</w:t>
      </w:r>
    </w:p>
    <w:p w14:paraId="61E48444" w14:textId="1C187F51" w:rsidR="00274951" w:rsidRDefault="00F552D1" w:rsidP="00A56A02">
      <w:pPr>
        <w:pStyle w:val="BodySubHeader"/>
        <w:spacing w:before="0"/>
        <w:rPr>
          <w:i w:val="0"/>
        </w:rPr>
      </w:pPr>
      <w:r w:rsidRPr="006C1F88">
        <w:t xml:space="preserve">The </w:t>
      </w:r>
      <w:r w:rsidRPr="001638A2">
        <w:t>ACMA’s</w:t>
      </w:r>
      <w:r w:rsidRPr="006C1F88">
        <w:t xml:space="preserve"> finding</w:t>
      </w:r>
      <w:r w:rsidR="00274951">
        <w:t>s</w:t>
      </w:r>
    </w:p>
    <w:p w14:paraId="74E37468" w14:textId="275045BB" w:rsidR="007E5E10" w:rsidRDefault="007E5E10" w:rsidP="00A56A02">
      <w:pPr>
        <w:pStyle w:val="BodySubHeader"/>
        <w:numPr>
          <w:ilvl w:val="0"/>
          <w:numId w:val="37"/>
        </w:numPr>
        <w:spacing w:before="0"/>
        <w:rPr>
          <w:b w:val="0"/>
          <w:i w:val="0"/>
        </w:rPr>
      </w:pPr>
      <w:r w:rsidRPr="00A56A02">
        <w:rPr>
          <w:b w:val="0"/>
          <w:i w:val="0"/>
        </w:rPr>
        <w:t>Election advertisement broadcast during the election ‘blackout’</w:t>
      </w:r>
      <w:r w:rsidR="003E3F6B">
        <w:rPr>
          <w:b w:val="0"/>
          <w:i w:val="0"/>
        </w:rPr>
        <w:t>.</w:t>
      </w:r>
    </w:p>
    <w:p w14:paraId="5A595641" w14:textId="77777777" w:rsidR="00274951" w:rsidRPr="001638A2" w:rsidRDefault="00274951" w:rsidP="00A56A02">
      <w:pPr>
        <w:spacing w:after="0"/>
      </w:pPr>
    </w:p>
    <w:p w14:paraId="0A74B55B" w14:textId="473A3A54" w:rsidR="00F552D1" w:rsidRDefault="000F44B9" w:rsidP="00A56A02">
      <w:r>
        <w:t>As the ‘relevant period’ (also known as the election blackout period) commences at midnight on the Wednesday before the election, the content was broadcast within the ‘relevant period’ for the purposes of the BSA.</w:t>
      </w:r>
    </w:p>
    <w:p w14:paraId="039667E8" w14:textId="1FF70490" w:rsidR="00743130" w:rsidRDefault="00743130" w:rsidP="00743130">
      <w:pPr>
        <w:pStyle w:val="ACMABodyText"/>
        <w:spacing w:after="120"/>
      </w:pPr>
      <w:r>
        <w:t xml:space="preserve">The licensee submitted that the recordings were not advertisements but were ‘sweepers’, which </w:t>
      </w:r>
      <w:r w:rsidR="00AA5D25">
        <w:t>we</w:t>
      </w:r>
      <w:r>
        <w:t>re ‘pre-recorded samples aired between songs’ commonly used on radio. It advise</w:t>
      </w:r>
      <w:r w:rsidR="00AA5D25">
        <w:t>d</w:t>
      </w:r>
      <w:r>
        <w:t xml:space="preserve"> that </w:t>
      </w:r>
      <w:r w:rsidR="00E7728E">
        <w:t xml:space="preserve">the </w:t>
      </w:r>
      <w:r>
        <w:t xml:space="preserve">comedian voiced them and that listeners </w:t>
      </w:r>
      <w:r w:rsidR="00AA5D25">
        <w:t>we</w:t>
      </w:r>
      <w:r>
        <w:t>re used to hearing these impersonations.</w:t>
      </w:r>
    </w:p>
    <w:p w14:paraId="3C1CEE5F" w14:textId="72D90669" w:rsidR="00743130" w:rsidRDefault="00743130" w:rsidP="00743130">
      <w:pPr>
        <w:pStyle w:val="ACMABodyText"/>
        <w:spacing w:after="120"/>
      </w:pPr>
      <w:r>
        <w:t>The licensee also submitted that the content was not ‘election matter’ as it did not genuinely advocate the support of any political party and did not comment on any matters being submitted to the electors at the election or any candidate</w:t>
      </w:r>
      <w:r w:rsidR="00274951">
        <w:t>’</w:t>
      </w:r>
      <w:r>
        <w:t xml:space="preserve">s policies. </w:t>
      </w:r>
    </w:p>
    <w:p w14:paraId="3CF18A1A" w14:textId="26F1F73B" w:rsidR="00743130" w:rsidRDefault="00743130" w:rsidP="00743130">
      <w:pPr>
        <w:pStyle w:val="ACMABodyText"/>
        <w:spacing w:after="120"/>
      </w:pPr>
      <w:r>
        <w:t>The ACMA consider</w:t>
      </w:r>
      <w:r w:rsidR="00AA5D25">
        <w:t>ed</w:t>
      </w:r>
      <w:r>
        <w:t xml:space="preserve"> that some listeners, including the complainant, may not have realised that the recordings were not genuine political advertisements. </w:t>
      </w:r>
      <w:r w:rsidR="00D50CED">
        <w:t xml:space="preserve">The </w:t>
      </w:r>
      <w:r>
        <w:t>impersonation closely resemble</w:t>
      </w:r>
      <w:r w:rsidR="008D34E1">
        <w:t>d</w:t>
      </w:r>
      <w:r>
        <w:t xml:space="preserve"> Mr Turnbull’s speaking voice. Further, although the recordings were mostly broadcast between songs, several times they were played immediately following advertising blocks, which would have suggested to some listeners that they were bona fide political advertisements. </w:t>
      </w:r>
    </w:p>
    <w:p w14:paraId="194BEE40" w14:textId="0AD7EEFF" w:rsidR="00743130" w:rsidRDefault="00743130" w:rsidP="00743130">
      <w:pPr>
        <w:pStyle w:val="ACMABodyText"/>
        <w:spacing w:after="120"/>
      </w:pPr>
      <w:r>
        <w:t>In the ACMA’s view, the content f</w:t>
      </w:r>
      <w:r w:rsidR="008D34E1">
        <w:t>ell</w:t>
      </w:r>
      <w:r>
        <w:t xml:space="preserve"> within the definition of ‘election matter’ because, although intended to be com</w:t>
      </w:r>
      <w:r w:rsidR="00274951">
        <w:t>edic</w:t>
      </w:r>
      <w:r>
        <w:t xml:space="preserve">, the recordings were, on the face of it, a direct appeal to voters to vote for Mr Turnbull, who was a candidate at the election and the leader of a political party contesting the election. </w:t>
      </w:r>
    </w:p>
    <w:p w14:paraId="10FFC8D2" w14:textId="7C800BC1" w:rsidR="00743130" w:rsidRDefault="00743130" w:rsidP="00743130">
      <w:pPr>
        <w:pStyle w:val="ACMABodyText"/>
        <w:spacing w:after="120"/>
      </w:pPr>
      <w:r>
        <w:t xml:space="preserve">The content </w:t>
      </w:r>
      <w:r w:rsidR="008D34E1">
        <w:t>wa</w:t>
      </w:r>
      <w:r>
        <w:t xml:space="preserve">s not excluded from the definition of ‘election matter’ by the fact that it was not Mr Turnbull or the Liberal Party who made the appeal, or that the content did not genuinely advocate support for Mr Turnbull because it was intended to be comedic. </w:t>
      </w:r>
    </w:p>
    <w:p w14:paraId="0BB03BFA" w14:textId="2AC7477E" w:rsidR="0030447F" w:rsidRDefault="0030447F" w:rsidP="0030447F">
      <w:pPr>
        <w:pStyle w:val="ACMABodyText"/>
        <w:spacing w:after="120"/>
      </w:pPr>
      <w:r w:rsidRPr="002D7C25">
        <w:rPr>
          <w:rFonts w:cs="Arial"/>
        </w:rPr>
        <w:t>However,</w:t>
      </w:r>
      <w:r>
        <w:rPr>
          <w:rFonts w:cs="Arial"/>
          <w:i/>
        </w:rPr>
        <w:t xml:space="preserve"> </w:t>
      </w:r>
      <w:r>
        <w:t xml:space="preserve">as the </w:t>
      </w:r>
      <w:r w:rsidR="006436A8">
        <w:t xml:space="preserve">ACMA accepted the </w:t>
      </w:r>
      <w:r>
        <w:t>licensee</w:t>
      </w:r>
      <w:r w:rsidR="006436A8">
        <w:t>’s</w:t>
      </w:r>
      <w:r>
        <w:t xml:space="preserve"> submi</w:t>
      </w:r>
      <w:r w:rsidR="006436A8">
        <w:t>ssion</w:t>
      </w:r>
      <w:r>
        <w:t xml:space="preserve"> that it did not receive ‘any funding or other consideration, directly or indirectly’ in relation to the broadcasts</w:t>
      </w:r>
      <w:r w:rsidR="006436A8">
        <w:t>,</w:t>
      </w:r>
      <w:r w:rsidR="00AE6FEF">
        <w:t xml:space="preserve"> the ‘election matter’ was not an ‘election advertisement’</w:t>
      </w:r>
      <w:r w:rsidR="005E53EA">
        <w:t>, and so w</w:t>
      </w:r>
      <w:r w:rsidR="00C34207">
        <w:t>as</w:t>
      </w:r>
      <w:r w:rsidR="005E53EA">
        <w:t xml:space="preserve"> not subject to the </w:t>
      </w:r>
      <w:r w:rsidR="00C34207">
        <w:t xml:space="preserve">restrictions in the </w:t>
      </w:r>
      <w:r w:rsidR="005E53EA">
        <w:t>‘blackou</w:t>
      </w:r>
      <w:r w:rsidR="00A3179E">
        <w:t>t’ period.</w:t>
      </w:r>
    </w:p>
    <w:p w14:paraId="3A318CBA" w14:textId="1FAF40A6" w:rsidR="007E5E10" w:rsidRDefault="007E5E10" w:rsidP="00A56A02">
      <w:pPr>
        <w:pStyle w:val="ACMABodyText"/>
        <w:numPr>
          <w:ilvl w:val="0"/>
          <w:numId w:val="37"/>
        </w:numPr>
        <w:spacing w:before="240"/>
        <w:ind w:left="714" w:hanging="357"/>
        <w:rPr>
          <w:lang w:eastAsia="en-AU"/>
        </w:rPr>
      </w:pPr>
      <w:r w:rsidRPr="00A56A02">
        <w:rPr>
          <w:lang w:eastAsia="en-AU"/>
        </w:rPr>
        <w:t>Political matter without the required particulars</w:t>
      </w:r>
      <w:r w:rsidR="003E3F6B">
        <w:rPr>
          <w:lang w:eastAsia="en-AU"/>
        </w:rPr>
        <w:t>.</w:t>
      </w:r>
    </w:p>
    <w:p w14:paraId="714514B1" w14:textId="3A0E748E" w:rsidR="00B84441" w:rsidRDefault="00A3179E" w:rsidP="00B84441">
      <w:pPr>
        <w:pStyle w:val="ACMABodyText"/>
        <w:rPr>
          <w:lang w:eastAsia="en-AU"/>
        </w:rPr>
      </w:pPr>
      <w:r>
        <w:rPr>
          <w:lang w:eastAsia="en-AU"/>
        </w:rPr>
        <w:t>The ACMA found that e</w:t>
      </w:r>
      <w:r w:rsidR="00B84441">
        <w:rPr>
          <w:lang w:eastAsia="en-AU"/>
        </w:rPr>
        <w:t xml:space="preserve">ven though the recordings were comedic, they referenced the federal election and appealed to listeners to vote for Mr Turnbull, a candidate in that election. In the ACMA’s view, that </w:t>
      </w:r>
      <w:r>
        <w:rPr>
          <w:lang w:eastAsia="en-AU"/>
        </w:rPr>
        <w:t>wa</w:t>
      </w:r>
      <w:r w:rsidR="00B84441">
        <w:rPr>
          <w:lang w:eastAsia="en-AU"/>
        </w:rPr>
        <w:t xml:space="preserve">s sufficient to meet the definition of ‘political matter’. </w:t>
      </w:r>
    </w:p>
    <w:p w14:paraId="70464C1D" w14:textId="19B2FE52" w:rsidR="003C1D2E" w:rsidRDefault="00A3179E">
      <w:pPr>
        <w:pStyle w:val="ACMABodyText"/>
        <w:rPr>
          <w:lang w:eastAsia="en-AU"/>
        </w:rPr>
      </w:pPr>
      <w:r>
        <w:rPr>
          <w:lang w:eastAsia="en-AU"/>
        </w:rPr>
        <w:lastRenderedPageBreak/>
        <w:t xml:space="preserve">However, </w:t>
      </w:r>
      <w:r w:rsidR="003C1D2E">
        <w:rPr>
          <w:lang w:eastAsia="en-AU"/>
        </w:rPr>
        <w:t>the ACMA accepted the licensee’s submission that the content was not broadcast at the request of a political party or any other person</w:t>
      </w:r>
      <w:r w:rsidR="00543B41">
        <w:rPr>
          <w:lang w:eastAsia="en-AU"/>
        </w:rPr>
        <w:t>. Therefore,</w:t>
      </w:r>
      <w:r w:rsidR="003C1D2E">
        <w:rPr>
          <w:lang w:eastAsia="en-AU"/>
        </w:rPr>
        <w:t xml:space="preserve"> there was no requirement for </w:t>
      </w:r>
      <w:r w:rsidR="003C1D2E">
        <w:rPr>
          <w:rFonts w:cs="Arial"/>
        </w:rPr>
        <w:t>the required particulars to be announced immediately afterwards</w:t>
      </w:r>
      <w:r w:rsidR="003C1D2E">
        <w:rPr>
          <w:lang w:eastAsia="en-AU"/>
        </w:rPr>
        <w:t>.</w:t>
      </w:r>
    </w:p>
    <w:p w14:paraId="0A45505A" w14:textId="18F86210" w:rsidR="00D10982" w:rsidRPr="00A56A02" w:rsidRDefault="00D10982" w:rsidP="00D10982">
      <w:pPr>
        <w:keepNext/>
        <w:spacing w:before="320" w:after="60"/>
        <w:outlineLvl w:val="1"/>
        <w:rPr>
          <w:rFonts w:cs="Arial"/>
          <w:szCs w:val="20"/>
        </w:rPr>
      </w:pPr>
      <w:r w:rsidRPr="00A56A02">
        <w:rPr>
          <w:rFonts w:cs="Arial"/>
          <w:szCs w:val="20"/>
        </w:rPr>
        <w:t xml:space="preserve">The complete analysis in this investigation can be accessed in Investigation </w:t>
      </w:r>
      <w:r w:rsidR="007B48A0" w:rsidRPr="00A56A02">
        <w:rPr>
          <w:rFonts w:cs="Arial"/>
          <w:szCs w:val="20"/>
        </w:rPr>
        <w:t>R</w:t>
      </w:r>
      <w:r w:rsidRPr="00A56A02">
        <w:rPr>
          <w:rFonts w:cs="Arial"/>
          <w:szCs w:val="20"/>
        </w:rPr>
        <w:t>eport</w:t>
      </w:r>
      <w:r w:rsidR="007B48A0" w:rsidRPr="00A56A02">
        <w:rPr>
          <w:rFonts w:cs="Arial"/>
          <w:szCs w:val="20"/>
        </w:rPr>
        <w:t xml:space="preserve"> No. </w:t>
      </w:r>
      <w:r w:rsidRPr="00A56A02">
        <w:rPr>
          <w:rFonts w:cs="Arial"/>
          <w:szCs w:val="20"/>
        </w:rPr>
        <w:t>BI-</w:t>
      </w:r>
      <w:r w:rsidR="00E31A32" w:rsidRPr="00A56A02">
        <w:rPr>
          <w:rFonts w:cs="Arial"/>
          <w:szCs w:val="20"/>
        </w:rPr>
        <w:t>214</w:t>
      </w:r>
      <w:r w:rsidRPr="00A56A02">
        <w:rPr>
          <w:rFonts w:cs="Arial"/>
          <w:szCs w:val="20"/>
        </w:rPr>
        <w:t xml:space="preserve"> at </w:t>
      </w:r>
      <w:hyperlink r:id="rId40" w:history="1">
        <w:r w:rsidRPr="00A56A02">
          <w:rPr>
            <w:rStyle w:val="Hyperlink"/>
            <w:rFonts w:cs="Arial"/>
            <w:szCs w:val="20"/>
          </w:rPr>
          <w:t>acma.gov.au</w:t>
        </w:r>
      </w:hyperlink>
      <w:r w:rsidR="003E3F6B">
        <w:rPr>
          <w:rFonts w:cs="Arial"/>
          <w:szCs w:val="20"/>
        </w:rPr>
        <w:t>.</w:t>
      </w:r>
    </w:p>
    <w:p w14:paraId="40F07714" w14:textId="77777777" w:rsidR="00BF2B19" w:rsidRPr="00DB1AA8" w:rsidRDefault="00BF2B19" w:rsidP="002C15F2">
      <w:pPr>
        <w:keepNext/>
        <w:spacing w:before="320" w:after="60"/>
        <w:outlineLvl w:val="1"/>
        <w:rPr>
          <w:rFonts w:cs="Arial"/>
          <w:b/>
          <w:sz w:val="28"/>
          <w:szCs w:val="28"/>
        </w:rPr>
      </w:pPr>
    </w:p>
    <w:sectPr w:rsidR="00BF2B19" w:rsidRPr="00DB1AA8" w:rsidSect="00C77380">
      <w:headerReference w:type="even" r:id="rId41"/>
      <w:headerReference w:type="default" r:id="rId42"/>
      <w:footerReference w:type="even" r:id="rId43"/>
      <w:footerReference w:type="default" r:id="rId44"/>
      <w:headerReference w:type="first" r:id="rId45"/>
      <w:pgSz w:w="11906" w:h="16838" w:code="9"/>
      <w:pgMar w:top="1945" w:right="3101" w:bottom="1134" w:left="1134" w:header="709" w:footer="11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547A6" w14:textId="77777777" w:rsidR="006D34F5" w:rsidRDefault="006D34F5">
      <w:r>
        <w:separator/>
      </w:r>
    </w:p>
  </w:endnote>
  <w:endnote w:type="continuationSeparator" w:id="0">
    <w:p w14:paraId="249349B4" w14:textId="77777777" w:rsidR="006D34F5" w:rsidRDefault="006D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6B0F" w14:textId="77777777" w:rsidR="005C2307" w:rsidRPr="00A5474E" w:rsidRDefault="005C2307" w:rsidP="00A5474E">
    <w:pPr>
      <w:pStyle w:val="Footer"/>
    </w:pPr>
    <w:r>
      <w:rPr>
        <w:noProof/>
      </w:rPr>
      <w:drawing>
        <wp:inline distT="0" distB="0" distL="0" distR="0" wp14:anchorId="358970CF" wp14:editId="74B98FC9">
          <wp:extent cx="3483864" cy="249613"/>
          <wp:effectExtent l="0" t="0" r="0" b="0"/>
          <wp:docPr id="24" name="Picture 24" title="Australian communications and Media Authority tagline – communicating, facilitating, regul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M_A4Letterhead_Strapline.jpg"/>
                  <pic:cNvPicPr/>
                </pic:nvPicPr>
                <pic:blipFill>
                  <a:blip r:embed="rId1">
                    <a:extLst>
                      <a:ext uri="{28A0092B-C50C-407E-A947-70E740481C1C}">
                        <a14:useLocalDpi xmlns:a14="http://schemas.microsoft.com/office/drawing/2010/main" val="0"/>
                      </a:ext>
                    </a:extLst>
                  </a:blip>
                  <a:stretch>
                    <a:fillRect/>
                  </a:stretch>
                </pic:blipFill>
                <pic:spPr>
                  <a:xfrm>
                    <a:off x="0" y="0"/>
                    <a:ext cx="3483864" cy="249613"/>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30F1" w14:textId="77777777" w:rsidR="005C2307" w:rsidRDefault="005C23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77407" w14:textId="77777777" w:rsidR="005C2307" w:rsidRDefault="005C23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868C" w14:textId="49341C8F" w:rsidR="005C2307" w:rsidRPr="00622A3B" w:rsidRDefault="005C2307" w:rsidP="00971914">
    <w:pPr>
      <w:pStyle w:val="Footer"/>
      <w:framePr w:w="1334" w:h="357" w:hRule="exact" w:vSpace="425" w:wrap="around" w:vAnchor="page" w:hAnchor="page" w:x="1156" w:y="16166"/>
      <w:pBdr>
        <w:top w:val="single" w:sz="4" w:space="1" w:color="auto"/>
      </w:pBdr>
      <w:tabs>
        <w:tab w:val="clear" w:pos="113"/>
        <w:tab w:val="left" w:pos="284"/>
      </w:tabs>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3A0A8B">
      <w:rPr>
        <w:noProof/>
        <w:color w:val="505050"/>
      </w:rPr>
      <w:t>iv</w:t>
    </w:r>
    <w:r w:rsidRPr="002E4DDC">
      <w:rPr>
        <w:color w:val="505050"/>
      </w:rPr>
      <w:fldChar w:fldCharType="end"/>
    </w:r>
  </w:p>
  <w:p w14:paraId="5B6B5A03" w14:textId="77777777" w:rsidR="005C2307" w:rsidRPr="00A5474E" w:rsidRDefault="005C2307" w:rsidP="00A547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EB7CA" w14:textId="77777777" w:rsidR="005C2307" w:rsidRPr="00622A3B" w:rsidRDefault="005C2307" w:rsidP="00971914">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Pr>
        <w:noProof/>
        <w:color w:val="505050"/>
      </w:rPr>
      <w:t>v</w:t>
    </w:r>
    <w:r w:rsidRPr="002E4DDC">
      <w:rPr>
        <w:color w:val="505050"/>
      </w:rPr>
      <w:fldChar w:fldCharType="end"/>
    </w:r>
  </w:p>
  <w:p w14:paraId="3C0D82FF" w14:textId="77777777" w:rsidR="005C2307" w:rsidRPr="00A5474E" w:rsidRDefault="005C2307" w:rsidP="00A547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7E86" w14:textId="4DBD0701" w:rsidR="005C2307" w:rsidRPr="00622A3B" w:rsidRDefault="005C2307" w:rsidP="0094078F">
    <w:pPr>
      <w:pStyle w:val="Footer"/>
      <w:framePr w:w="1334" w:h="357" w:hRule="exact" w:vSpace="425" w:wrap="around" w:vAnchor="page" w:hAnchor="page" w:x="7335" w:y="16166"/>
      <w:pBdr>
        <w:top w:val="single" w:sz="4" w:space="1" w:color="auto"/>
      </w:pBdr>
      <w:tabs>
        <w:tab w:val="clear" w:pos="113"/>
        <w:tab w:val="left" w:pos="284"/>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2E4DDC">
      <w:rPr>
        <w:color w:val="505050"/>
      </w:rPr>
      <w:fldChar w:fldCharType="begin"/>
    </w:r>
    <w:r w:rsidRPr="002E4DDC">
      <w:rPr>
        <w:color w:val="505050"/>
      </w:rPr>
      <w:instrText xml:space="preserve"> PAGE  \* roman  \* MERGEFORMAT </w:instrText>
    </w:r>
    <w:r w:rsidRPr="002E4DDC">
      <w:rPr>
        <w:color w:val="505050"/>
      </w:rPr>
      <w:fldChar w:fldCharType="separate"/>
    </w:r>
    <w:r w:rsidR="003A0A8B">
      <w:rPr>
        <w:noProof/>
        <w:color w:val="505050"/>
      </w:rPr>
      <w:t>iii</w:t>
    </w:r>
    <w:r w:rsidRPr="002E4DDC">
      <w:rPr>
        <w:color w:val="505050"/>
      </w:rPr>
      <w:fldChar w:fldCharType="end"/>
    </w:r>
  </w:p>
  <w:p w14:paraId="6D7FA7EE" w14:textId="77777777" w:rsidR="005C2307" w:rsidRPr="00A5474E" w:rsidRDefault="005C2307" w:rsidP="00A5474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D8A2C" w14:textId="63AF6C24" w:rsidR="005C2307" w:rsidRPr="00622A3B" w:rsidRDefault="005C2307" w:rsidP="00B43262">
    <w:pPr>
      <w:pStyle w:val="FooterLeft"/>
      <w:framePr w:wrap="around" w:x="1141" w:y="16166"/>
      <w:tabs>
        <w:tab w:val="clear" w:pos="113"/>
        <w:tab w:val="right" w:pos="397"/>
      </w:tabs>
    </w:pPr>
    <w:r w:rsidRPr="00575AC5">
      <w:fldChar w:fldCharType="begin"/>
    </w:r>
    <w:r w:rsidRPr="00575AC5">
      <w:instrText xml:space="preserve"> PAGE  \* Arabic  \* MERGEFORMAT </w:instrText>
    </w:r>
    <w:r w:rsidRPr="00575AC5">
      <w:fldChar w:fldCharType="separate"/>
    </w:r>
    <w:r w:rsidR="003A0A8B">
      <w:rPr>
        <w:noProof/>
      </w:rPr>
      <w:t>16</w:t>
    </w:r>
    <w:r w:rsidRPr="00575AC5">
      <w:fldChar w:fldCharType="end"/>
    </w:r>
    <w:r w:rsidRPr="0094078F">
      <w:tab/>
    </w:r>
    <w:r w:rsidRPr="00622A3B">
      <w:t>|</w:t>
    </w:r>
    <w:r>
      <w:tab/>
    </w:r>
    <w:r w:rsidRPr="00622A3B">
      <w:rPr>
        <w:b/>
        <w:noProof/>
        <w:spacing w:val="-16"/>
        <w:sz w:val="20"/>
        <w:szCs w:val="20"/>
      </w:rPr>
      <w:t>a</w:t>
    </w:r>
    <w:r w:rsidRPr="00622A3B">
      <w:rPr>
        <w:b/>
        <w:noProof/>
        <w:spacing w:val="-15"/>
        <w:sz w:val="20"/>
        <w:szCs w:val="20"/>
      </w:rPr>
      <w:t>c</w:t>
    </w:r>
    <w:r w:rsidRPr="00622A3B">
      <w:rPr>
        <w:b/>
        <w:noProof/>
        <w:spacing w:val="-16"/>
        <w:sz w:val="20"/>
        <w:szCs w:val="20"/>
      </w:rPr>
      <w:t>m</w:t>
    </w:r>
    <w:r w:rsidRPr="00622A3B">
      <w:rPr>
        <w:b/>
        <w:noProof/>
        <w:spacing w:val="-14"/>
        <w:sz w:val="20"/>
        <w:szCs w:val="20"/>
      </w:rPr>
      <w:t>a</w:t>
    </w:r>
  </w:p>
  <w:p w14:paraId="3B5A9044" w14:textId="77777777" w:rsidR="005C2307" w:rsidRPr="00A5474E" w:rsidRDefault="005C2307" w:rsidP="00A5474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CE73C" w14:textId="62F06853" w:rsidR="005C2307" w:rsidRPr="00622A3B" w:rsidRDefault="005C2307" w:rsidP="00447037">
    <w:pPr>
      <w:pStyle w:val="Footer"/>
      <w:framePr w:w="1440" w:h="357" w:hRule="exact" w:vSpace="425" w:wrap="around" w:vAnchor="page" w:hAnchor="page" w:x="7335" w:y="16166"/>
      <w:pBdr>
        <w:top w:val="single" w:sz="4" w:space="1" w:color="auto"/>
      </w:pBdr>
      <w:tabs>
        <w:tab w:val="clear" w:pos="113"/>
        <w:tab w:val="left" w:pos="397"/>
      </w:tabs>
      <w:jc w:val="right"/>
      <w:rPr>
        <w:rFonts w:cs="Arial"/>
      </w:rPr>
    </w:pPr>
    <w:r w:rsidRPr="00622A3B">
      <w:rPr>
        <w:rFonts w:cs="Arial"/>
        <w:b/>
        <w:noProof/>
        <w:spacing w:val="-16"/>
        <w:sz w:val="20"/>
        <w:szCs w:val="20"/>
      </w:rPr>
      <w:t>a</w:t>
    </w:r>
    <w:r w:rsidRPr="00622A3B">
      <w:rPr>
        <w:rFonts w:cs="Arial"/>
        <w:b/>
        <w:noProof/>
        <w:spacing w:val="-15"/>
        <w:sz w:val="20"/>
        <w:szCs w:val="20"/>
      </w:rPr>
      <w:t>c</w:t>
    </w:r>
    <w:r w:rsidRPr="00622A3B">
      <w:rPr>
        <w:rFonts w:cs="Arial"/>
        <w:b/>
        <w:noProof/>
        <w:spacing w:val="-16"/>
        <w:sz w:val="20"/>
        <w:szCs w:val="20"/>
      </w:rPr>
      <w:t>m</w:t>
    </w:r>
    <w:r w:rsidRPr="00622A3B">
      <w:rPr>
        <w:rFonts w:cs="Arial"/>
        <w:b/>
        <w:noProof/>
        <w:spacing w:val="-14"/>
        <w:sz w:val="20"/>
        <w:szCs w:val="20"/>
      </w:rPr>
      <w:t>a</w:t>
    </w:r>
    <w:r w:rsidRPr="0094078F">
      <w:rPr>
        <w:rFonts w:cs="Arial"/>
      </w:rPr>
      <w:tab/>
    </w:r>
    <w:r>
      <w:rPr>
        <w:rFonts w:cs="Arial"/>
      </w:rPr>
      <w:t xml:space="preserve"> </w:t>
    </w:r>
    <w:r w:rsidRPr="00622A3B">
      <w:rPr>
        <w:rFonts w:cs="Arial"/>
      </w:rPr>
      <w:t>|</w:t>
    </w:r>
    <w:r>
      <w:tab/>
    </w:r>
    <w:r w:rsidRPr="00575AC5">
      <w:rPr>
        <w:color w:val="505050"/>
      </w:rPr>
      <w:fldChar w:fldCharType="begin"/>
    </w:r>
    <w:r w:rsidRPr="00575AC5">
      <w:rPr>
        <w:color w:val="505050"/>
      </w:rPr>
      <w:instrText xml:space="preserve"> PAGE  \* Arabic  \* MERGEFORMAT </w:instrText>
    </w:r>
    <w:r w:rsidRPr="00575AC5">
      <w:rPr>
        <w:color w:val="505050"/>
      </w:rPr>
      <w:fldChar w:fldCharType="separate"/>
    </w:r>
    <w:r w:rsidR="003A0A8B">
      <w:rPr>
        <w:noProof/>
        <w:color w:val="505050"/>
      </w:rPr>
      <w:t>17</w:t>
    </w:r>
    <w:r w:rsidRPr="00575AC5">
      <w:rPr>
        <w:color w:val="505050"/>
      </w:rPr>
      <w:fldChar w:fldCharType="end"/>
    </w:r>
  </w:p>
  <w:p w14:paraId="06BFCD21" w14:textId="77777777" w:rsidR="005C2307" w:rsidRPr="00A5474E" w:rsidRDefault="005C2307" w:rsidP="00A5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729BC" w14:textId="77777777" w:rsidR="006D34F5" w:rsidRDefault="006D34F5">
      <w:r>
        <w:separator/>
      </w:r>
    </w:p>
  </w:footnote>
  <w:footnote w:type="continuationSeparator" w:id="0">
    <w:p w14:paraId="4500C77F" w14:textId="77777777" w:rsidR="006D34F5" w:rsidRDefault="006D34F5">
      <w:r>
        <w:continuationSeparator/>
      </w:r>
    </w:p>
  </w:footnote>
  <w:footnote w:id="1">
    <w:p w14:paraId="54B5CC93" w14:textId="19DEE55B" w:rsidR="005C2307" w:rsidRDefault="005C2307" w:rsidP="00395507">
      <w:pPr>
        <w:pStyle w:val="FootnoteText"/>
        <w:spacing w:before="40" w:after="40" w:line="240" w:lineRule="auto"/>
      </w:pPr>
      <w:r>
        <w:rPr>
          <w:rStyle w:val="FootnoteReference"/>
        </w:rPr>
        <w:footnoteRef/>
      </w:r>
      <w:r>
        <w:t xml:space="preserve"> See ‘How the Internet is Being Used by Political Organisations: Promises, Problems and Pointers’, </w:t>
      </w:r>
      <w:hyperlink r:id="rId1" w:anchor="PROBLEMS,[accessed" w:history="1">
        <w:r w:rsidRPr="00F22303">
          <w:rPr>
            <w:rStyle w:val="Hyperlink"/>
          </w:rPr>
          <w:t>https://www.aph.gov.au/About_Parliament/Parliamentary_Departments/Parliamentary_Library/pubs/rp/RP9798/98RP11#PROBLEMS</w:t>
        </w:r>
      </w:hyperlink>
      <w:r>
        <w:t>, accessed 6 February 2019.</w:t>
      </w:r>
    </w:p>
  </w:footnote>
  <w:footnote w:id="2">
    <w:p w14:paraId="32C7DCD9" w14:textId="2B8D630F" w:rsidR="005C2307" w:rsidRPr="00886DCE" w:rsidRDefault="005C2307" w:rsidP="009C1D02">
      <w:pPr>
        <w:pStyle w:val="FootnoteText"/>
        <w:spacing w:after="0" w:line="240" w:lineRule="auto"/>
      </w:pPr>
      <w:r>
        <w:rPr>
          <w:rStyle w:val="FootnoteReference"/>
        </w:rPr>
        <w:footnoteRef/>
      </w:r>
      <w:r>
        <w:t xml:space="preserve"> </w:t>
      </w:r>
      <w:r>
        <w:rPr>
          <w:shd w:val="clear" w:color="auto" w:fill="FFFFFF"/>
        </w:rPr>
        <w:t xml:space="preserve">See subclause 1(2) of Schedule 2. </w:t>
      </w:r>
      <w:r>
        <w:t>The definition of ‘</w:t>
      </w:r>
      <w:r w:rsidRPr="00A56A02">
        <w:t>required particulars</w:t>
      </w:r>
      <w:r>
        <w:t>’</w:t>
      </w:r>
      <w:r>
        <w:rPr>
          <w:i/>
        </w:rPr>
        <w:t xml:space="preserve"> </w:t>
      </w:r>
      <w:r>
        <w:t xml:space="preserve">also refers to any particulars determined under subsection 321D(7) of the </w:t>
      </w:r>
      <w:r>
        <w:rPr>
          <w:i/>
        </w:rPr>
        <w:t xml:space="preserve">Commonwealth Electoral Act 1918 </w:t>
      </w:r>
      <w:r>
        <w:t xml:space="preserve">for the purposes of paragraph 1(2)(b) of Schedule 2. No such particulars have been determined to date. </w:t>
      </w:r>
    </w:p>
  </w:footnote>
  <w:footnote w:id="3">
    <w:p w14:paraId="05981123" w14:textId="171188F6" w:rsidR="005C2307" w:rsidRPr="00D30009" w:rsidRDefault="005C2307" w:rsidP="009C1D02">
      <w:pPr>
        <w:pStyle w:val="FootnoteText"/>
        <w:spacing w:after="0" w:line="240" w:lineRule="auto"/>
      </w:pPr>
      <w:r>
        <w:rPr>
          <w:rStyle w:val="FootnoteReference"/>
        </w:rPr>
        <w:footnoteRef/>
      </w:r>
      <w:r>
        <w:t xml:space="preserve"> Section 287 of the </w:t>
      </w:r>
      <w:r>
        <w:rPr>
          <w:i/>
        </w:rPr>
        <w:t xml:space="preserve">Commonwealth Electoral Act 1918 </w:t>
      </w:r>
      <w:r>
        <w:t xml:space="preserve">defines the disclosure threshold as $13,800, an amount which is indexed under section 321A. For the 2018–19 financial year, the threshold is $13,800. </w:t>
      </w:r>
    </w:p>
  </w:footnote>
  <w:footnote w:id="4">
    <w:p w14:paraId="0A533327" w14:textId="01958871" w:rsidR="005C2307" w:rsidRDefault="005C2307" w:rsidP="00A56A02">
      <w:pPr>
        <w:pStyle w:val="FootnoteText"/>
        <w:spacing w:line="240" w:lineRule="auto"/>
        <w:contextualSpacing/>
      </w:pPr>
      <w:r>
        <w:rPr>
          <w:rStyle w:val="FootnoteReference"/>
        </w:rPr>
        <w:footnoteRef/>
      </w:r>
      <w:r>
        <w:t xml:space="preserve"> See sections 305A and 305</w:t>
      </w:r>
      <w:r w:rsidR="002F49C1">
        <w:t>B</w:t>
      </w:r>
      <w:r>
        <w:t xml:space="preserve"> of the </w:t>
      </w:r>
      <w:r w:rsidRPr="00EE2A99">
        <w:rPr>
          <w:i/>
        </w:rPr>
        <w:t xml:space="preserve">Commonwealth </w:t>
      </w:r>
      <w:r>
        <w:rPr>
          <w:i/>
        </w:rPr>
        <w:t>E</w:t>
      </w:r>
      <w:r w:rsidRPr="00EE2A99">
        <w:rPr>
          <w:i/>
        </w:rPr>
        <w:t>lectoral Act 1918</w:t>
      </w:r>
      <w:r>
        <w:rPr>
          <w:i/>
        </w:rPr>
        <w:t>.</w:t>
      </w:r>
    </w:p>
  </w:footnote>
  <w:footnote w:id="5">
    <w:p w14:paraId="47E92780" w14:textId="17377524" w:rsidR="005C2307" w:rsidRDefault="005C2307" w:rsidP="00A56A02">
      <w:pPr>
        <w:pStyle w:val="FootnoteText"/>
        <w:spacing w:after="0" w:line="240" w:lineRule="auto"/>
        <w:contextualSpacing/>
      </w:pPr>
      <w:r>
        <w:rPr>
          <w:rStyle w:val="FootnoteReference"/>
        </w:rPr>
        <w:footnoteRef/>
      </w:r>
      <w:r>
        <w:t xml:space="preserve"> </w:t>
      </w:r>
      <w:r>
        <w:rPr>
          <w:rFonts w:cs="Arial"/>
          <w:szCs w:val="20"/>
        </w:rPr>
        <w:t>See</w:t>
      </w:r>
      <w:r>
        <w:t xml:space="preserve"> s</w:t>
      </w:r>
      <w:r w:rsidRPr="007A0368">
        <w:t>ubclause 4(</w:t>
      </w:r>
      <w:r>
        <w:t>5</w:t>
      </w:r>
      <w:r w:rsidRPr="007A0368">
        <w:t>)</w:t>
      </w:r>
      <w:r>
        <w:t xml:space="preserve"> of Schedule 2 to the </w:t>
      </w:r>
      <w:r w:rsidRPr="007A0368">
        <w:t>BSA</w:t>
      </w:r>
    </w:p>
  </w:footnote>
  <w:footnote w:id="6">
    <w:p w14:paraId="6BB2E055" w14:textId="77777777" w:rsidR="005C2307" w:rsidRDefault="005C2307" w:rsidP="00B95DDE">
      <w:pPr>
        <w:pStyle w:val="FootnoteText"/>
        <w:spacing w:after="0" w:line="240" w:lineRule="auto"/>
      </w:pPr>
      <w:r>
        <w:rPr>
          <w:rStyle w:val="FootnoteReference"/>
        </w:rPr>
        <w:footnoteRef/>
      </w:r>
      <w:r>
        <w:t xml:space="preserve"> See subclause 4(3) of Schedule 2 to the BSA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2DBC" w14:textId="603DDA06" w:rsidR="005C2307" w:rsidRDefault="005C23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4FCD2" w14:textId="2B74D338" w:rsidR="005C2307" w:rsidRDefault="005C230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7B012" w14:textId="3BD7CEEE" w:rsidR="005C2307" w:rsidRDefault="005C230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C0BFB" w14:textId="443E7755" w:rsidR="005C2307" w:rsidRDefault="005C2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D5FC7" w14:textId="3FE20247" w:rsidR="005C2307" w:rsidRPr="00A5474E" w:rsidRDefault="005C2307" w:rsidP="00A5474E">
    <w:pPr>
      <w:pStyle w:val="Header"/>
    </w:pPr>
    <w:r>
      <w:rPr>
        <w:noProof/>
      </w:rPr>
      <w:drawing>
        <wp:inline distT="0" distB="0" distL="0" distR="0" wp14:anchorId="26103D2C" wp14:editId="5807926E">
          <wp:extent cx="6388100" cy="520700"/>
          <wp:effectExtent l="0" t="0" r="0" b="12700"/>
          <wp:docPr id="4" name="Picture 4" title="Australian Communications and Media Authority logo and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aper-header-block.pdf"/>
                  <pic:cNvPicPr/>
                </pic:nvPicPr>
                <pic:blipFill>
                  <a:blip r:embed="rId1">
                    <a:extLst>
                      <a:ext uri="{28A0092B-C50C-407E-A947-70E740481C1C}">
                        <a14:useLocalDpi xmlns:a14="http://schemas.microsoft.com/office/drawing/2010/main" val="0"/>
                      </a:ext>
                    </a:extLst>
                  </a:blip>
                  <a:stretch>
                    <a:fillRect/>
                  </a:stretch>
                </pic:blipFill>
                <pic:spPr>
                  <a:xfrm>
                    <a:off x="0" y="0"/>
                    <a:ext cx="6388100" cy="5207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B95E0" w14:textId="32C5904E" w:rsidR="005C2307" w:rsidRPr="00A5474E" w:rsidRDefault="005C2307" w:rsidP="00594E9C">
    <w:pPr>
      <w:pStyle w:val="TOCHeading"/>
    </w:pPr>
    <w:r w:rsidRPr="0029593B">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B68A4" w14:textId="72540612" w:rsidR="005C2307" w:rsidRDefault="005C23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56119" w14:textId="1C79D9B3" w:rsidR="005C2307" w:rsidRDefault="005C23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1F94C" w14:textId="5C7E3F6C" w:rsidR="005C2307" w:rsidRDefault="005C23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5C2307" w14:paraId="247B1F38" w14:textId="77777777" w:rsidTr="00B178F6">
      <w:trPr>
        <w:trHeight w:hRule="exact" w:val="988"/>
      </w:trPr>
      <w:tc>
        <w:tcPr>
          <w:tcW w:w="7678" w:type="dxa"/>
          <w:shd w:val="clear" w:color="auto" w:fill="auto"/>
        </w:tcPr>
        <w:p w14:paraId="33B0E62D" w14:textId="77777777" w:rsidR="005C2307" w:rsidRDefault="005C2307" w:rsidP="00971914">
          <w:pPr>
            <w:pStyle w:val="Header"/>
          </w:pPr>
        </w:p>
      </w:tc>
    </w:tr>
    <w:tr w:rsidR="005C2307" w14:paraId="43F280BB" w14:textId="77777777" w:rsidTr="00B178F6">
      <w:tc>
        <w:tcPr>
          <w:tcW w:w="7678" w:type="dxa"/>
          <w:shd w:val="clear" w:color="auto" w:fill="auto"/>
        </w:tcPr>
        <w:p w14:paraId="22697D24" w14:textId="1EB72B58" w:rsidR="005C2307" w:rsidRDefault="005C2307" w:rsidP="00971914">
          <w:pPr>
            <w:pStyle w:val="GridTable31"/>
          </w:pPr>
        </w:p>
      </w:tc>
    </w:tr>
    <w:tr w:rsidR="005C2307" w14:paraId="6ACD8E91" w14:textId="77777777" w:rsidTr="00B178F6">
      <w:trPr>
        <w:trHeight w:val="1220"/>
      </w:trPr>
      <w:tc>
        <w:tcPr>
          <w:tcW w:w="7678" w:type="dxa"/>
          <w:shd w:val="clear" w:color="auto" w:fill="auto"/>
        </w:tcPr>
        <w:p w14:paraId="494157AE" w14:textId="77777777" w:rsidR="005C2307" w:rsidRDefault="005C2307" w:rsidP="00971914"/>
      </w:tc>
    </w:tr>
  </w:tbl>
  <w:p w14:paraId="6AE34124" w14:textId="125C4634" w:rsidR="005C2307" w:rsidRDefault="005C2307" w:rsidP="009719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678" w:type="dxa"/>
      <w:tblLayout w:type="fixed"/>
      <w:tblCellMar>
        <w:left w:w="0" w:type="dxa"/>
        <w:right w:w="0" w:type="dxa"/>
      </w:tblCellMar>
      <w:tblLook w:val="01E0" w:firstRow="1" w:lastRow="1" w:firstColumn="1" w:lastColumn="1" w:noHBand="0" w:noVBand="0"/>
    </w:tblPr>
    <w:tblGrid>
      <w:gridCol w:w="7678"/>
    </w:tblGrid>
    <w:tr w:rsidR="005C2307" w14:paraId="72F0172C" w14:textId="77777777" w:rsidTr="00B178F6">
      <w:trPr>
        <w:trHeight w:hRule="exact" w:val="988"/>
      </w:trPr>
      <w:tc>
        <w:tcPr>
          <w:tcW w:w="7678" w:type="dxa"/>
          <w:shd w:val="clear" w:color="auto" w:fill="auto"/>
        </w:tcPr>
        <w:p w14:paraId="5C242D70" w14:textId="77777777" w:rsidR="005C2307" w:rsidRDefault="005C2307" w:rsidP="00971914">
          <w:pPr>
            <w:pStyle w:val="Header"/>
          </w:pPr>
        </w:p>
      </w:tc>
    </w:tr>
    <w:tr w:rsidR="005C2307" w14:paraId="012B569B" w14:textId="77777777" w:rsidTr="00B178F6">
      <w:tc>
        <w:tcPr>
          <w:tcW w:w="7678" w:type="dxa"/>
          <w:shd w:val="clear" w:color="auto" w:fill="auto"/>
        </w:tcPr>
        <w:p w14:paraId="7FB5EBFD" w14:textId="77777777" w:rsidR="005C2307" w:rsidRDefault="005C2307" w:rsidP="00971914">
          <w:pPr>
            <w:pStyle w:val="GridTable31"/>
          </w:pPr>
          <w:r>
            <w:t xml:space="preserve">Contents </w:t>
          </w:r>
          <w:r w:rsidRPr="00915B1C">
            <w:rPr>
              <w:b w:val="0"/>
              <w:spacing w:val="0"/>
              <w:sz w:val="28"/>
              <w:szCs w:val="28"/>
            </w:rPr>
            <w:t>(Continued)</w:t>
          </w:r>
        </w:p>
      </w:tc>
    </w:tr>
    <w:tr w:rsidR="005C2307" w14:paraId="5CF3B1D5" w14:textId="77777777" w:rsidTr="00B178F6">
      <w:trPr>
        <w:trHeight w:val="1220"/>
      </w:trPr>
      <w:tc>
        <w:tcPr>
          <w:tcW w:w="7678" w:type="dxa"/>
          <w:shd w:val="clear" w:color="auto" w:fill="auto"/>
        </w:tcPr>
        <w:p w14:paraId="76A61800" w14:textId="77777777" w:rsidR="005C2307" w:rsidRDefault="005C2307" w:rsidP="00971914"/>
      </w:tc>
    </w:tr>
  </w:tbl>
  <w:p w14:paraId="0BFA2B19" w14:textId="78FE0623" w:rsidR="005C2307" w:rsidRPr="00A5474E" w:rsidRDefault="005C2307" w:rsidP="00A5474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8469B" w14:textId="09A176EE" w:rsidR="005C2307" w:rsidRDefault="005C2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813C"/>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03632DA"/>
    <w:lvl w:ilvl="0">
      <w:start w:val="1"/>
      <w:numFmt w:val="decimal"/>
      <w:pStyle w:val="ListNumber2"/>
      <w:lvlText w:val="%1."/>
      <w:lvlJc w:val="left"/>
      <w:pPr>
        <w:ind w:left="360" w:hanging="360"/>
      </w:pPr>
      <w:rPr>
        <w:rFonts w:hint="default"/>
      </w:rPr>
    </w:lvl>
  </w:abstractNum>
  <w:abstractNum w:abstractNumId="2" w15:restartNumberingAfterBreak="0">
    <w:nsid w:val="FFFFFF83"/>
    <w:multiLevelType w:val="singleLevel"/>
    <w:tmpl w:val="3E303AD8"/>
    <w:lvl w:ilvl="0">
      <w:start w:val="1"/>
      <w:numFmt w:val="bullet"/>
      <w:pStyle w:val="ListBullet2"/>
      <w:lvlText w:val="&gt;"/>
      <w:lvlJc w:val="left"/>
      <w:pPr>
        <w:tabs>
          <w:tab w:val="num" w:pos="845"/>
        </w:tabs>
        <w:ind w:left="845" w:hanging="544"/>
      </w:pPr>
      <w:rPr>
        <w:rFonts w:ascii="HelveticaNeueLT Std Lt" w:hAnsi="HelveticaNeueLT Std Lt" w:hint="default"/>
        <w:sz w:val="20"/>
      </w:rPr>
    </w:lvl>
  </w:abstractNum>
  <w:abstractNum w:abstractNumId="3" w15:restartNumberingAfterBreak="0">
    <w:nsid w:val="FFFFFF88"/>
    <w:multiLevelType w:val="singleLevel"/>
    <w:tmpl w:val="34367B10"/>
    <w:lvl w:ilvl="0">
      <w:start w:val="1"/>
      <w:numFmt w:val="decimal"/>
      <w:pStyle w:val="ListNumber"/>
      <w:lvlText w:val="%1."/>
      <w:lvlJc w:val="left"/>
      <w:pPr>
        <w:ind w:left="360" w:hanging="360"/>
      </w:pPr>
      <w:rPr>
        <w:rFonts w:hint="default"/>
        <w:caps/>
        <w:sz w:val="20"/>
      </w:rPr>
    </w:lvl>
  </w:abstractNum>
  <w:abstractNum w:abstractNumId="4" w15:restartNumberingAfterBreak="0">
    <w:nsid w:val="FFFFFF89"/>
    <w:multiLevelType w:val="singleLevel"/>
    <w:tmpl w:val="8D465DE8"/>
    <w:lvl w:ilvl="0">
      <w:start w:val="1"/>
      <w:numFmt w:val="bullet"/>
      <w:pStyle w:val="ListBullet"/>
      <w:lvlText w:val="&gt;"/>
      <w:lvlJc w:val="left"/>
      <w:pPr>
        <w:tabs>
          <w:tab w:val="num" w:pos="295"/>
        </w:tabs>
        <w:ind w:left="295" w:hanging="295"/>
      </w:pPr>
      <w:rPr>
        <w:rFonts w:ascii="HelveticaNeueLT Std Lt" w:hAnsi="HelveticaNeueLT Std Lt" w:hint="default"/>
        <w:sz w:val="20"/>
      </w:rPr>
    </w:lvl>
  </w:abstractNum>
  <w:abstractNum w:abstractNumId="5" w15:restartNumberingAfterBreak="0">
    <w:nsid w:val="01622A25"/>
    <w:multiLevelType w:val="hybridMultilevel"/>
    <w:tmpl w:val="12581CC2"/>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26504F6"/>
    <w:multiLevelType w:val="hybridMultilevel"/>
    <w:tmpl w:val="FC1C44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2AF1222"/>
    <w:multiLevelType w:val="hybridMultilevel"/>
    <w:tmpl w:val="BC6E3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87C268C"/>
    <w:multiLevelType w:val="hybridMultilevel"/>
    <w:tmpl w:val="E0A6CA9A"/>
    <w:lvl w:ilvl="0" w:tplc="44EEC084">
      <w:start w:val="1"/>
      <w:numFmt w:val="bullet"/>
      <w:lvlText w:val="&gt;"/>
      <w:lvlJc w:val="left"/>
      <w:pPr>
        <w:ind w:left="720" w:hanging="360"/>
      </w:pPr>
      <w:rPr>
        <w:rFonts w:ascii="HelveticaNeueLT Std" w:hAnsi="HelveticaNeueLT Std"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8F077D"/>
    <w:multiLevelType w:val="hybridMultilevel"/>
    <w:tmpl w:val="EBE2DD8C"/>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60B6751"/>
    <w:multiLevelType w:val="hybridMultilevel"/>
    <w:tmpl w:val="BBBE054A"/>
    <w:lvl w:ilvl="0" w:tplc="ABCE7B00">
      <w:start w:val="1"/>
      <w:numFmt w:val="bullet"/>
      <w:lvlText w:val="&gt;"/>
      <w:lvlJc w:val="left"/>
      <w:pPr>
        <w:ind w:left="1080" w:hanging="360"/>
      </w:pPr>
      <w:rPr>
        <w:rFonts w:ascii="Arial"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53778C9"/>
    <w:multiLevelType w:val="hybridMultilevel"/>
    <w:tmpl w:val="5B3A5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C95232"/>
    <w:multiLevelType w:val="hybridMultilevel"/>
    <w:tmpl w:val="2CAE8112"/>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AF70CCA"/>
    <w:multiLevelType w:val="hybridMultilevel"/>
    <w:tmpl w:val="67CA1884"/>
    <w:lvl w:ilvl="0" w:tplc="C5F03F80">
      <w:start w:val="1"/>
      <w:numFmt w:val="lowerLetter"/>
      <w:lvlText w:val="(%1)"/>
      <w:lvlJc w:val="left"/>
      <w:pPr>
        <w:ind w:left="1248" w:hanging="360"/>
      </w:pPr>
      <w:rPr>
        <w:rFonts w:hint="default"/>
      </w:rPr>
    </w:lvl>
    <w:lvl w:ilvl="1" w:tplc="0C090019" w:tentative="1">
      <w:start w:val="1"/>
      <w:numFmt w:val="lowerLetter"/>
      <w:lvlText w:val="%2."/>
      <w:lvlJc w:val="left"/>
      <w:pPr>
        <w:ind w:left="1968" w:hanging="360"/>
      </w:pPr>
    </w:lvl>
    <w:lvl w:ilvl="2" w:tplc="0C09001B" w:tentative="1">
      <w:start w:val="1"/>
      <w:numFmt w:val="lowerRoman"/>
      <w:lvlText w:val="%3."/>
      <w:lvlJc w:val="right"/>
      <w:pPr>
        <w:ind w:left="2688" w:hanging="180"/>
      </w:pPr>
    </w:lvl>
    <w:lvl w:ilvl="3" w:tplc="0C09000F" w:tentative="1">
      <w:start w:val="1"/>
      <w:numFmt w:val="decimal"/>
      <w:lvlText w:val="%4."/>
      <w:lvlJc w:val="left"/>
      <w:pPr>
        <w:ind w:left="3408" w:hanging="360"/>
      </w:pPr>
    </w:lvl>
    <w:lvl w:ilvl="4" w:tplc="0C090019" w:tentative="1">
      <w:start w:val="1"/>
      <w:numFmt w:val="lowerLetter"/>
      <w:lvlText w:val="%5."/>
      <w:lvlJc w:val="left"/>
      <w:pPr>
        <w:ind w:left="4128" w:hanging="360"/>
      </w:pPr>
    </w:lvl>
    <w:lvl w:ilvl="5" w:tplc="0C09001B" w:tentative="1">
      <w:start w:val="1"/>
      <w:numFmt w:val="lowerRoman"/>
      <w:lvlText w:val="%6."/>
      <w:lvlJc w:val="right"/>
      <w:pPr>
        <w:ind w:left="4848" w:hanging="180"/>
      </w:pPr>
    </w:lvl>
    <w:lvl w:ilvl="6" w:tplc="0C09000F" w:tentative="1">
      <w:start w:val="1"/>
      <w:numFmt w:val="decimal"/>
      <w:lvlText w:val="%7."/>
      <w:lvlJc w:val="left"/>
      <w:pPr>
        <w:ind w:left="5568" w:hanging="360"/>
      </w:pPr>
    </w:lvl>
    <w:lvl w:ilvl="7" w:tplc="0C090019" w:tentative="1">
      <w:start w:val="1"/>
      <w:numFmt w:val="lowerLetter"/>
      <w:lvlText w:val="%8."/>
      <w:lvlJc w:val="left"/>
      <w:pPr>
        <w:ind w:left="6288" w:hanging="360"/>
      </w:pPr>
    </w:lvl>
    <w:lvl w:ilvl="8" w:tplc="0C09001B" w:tentative="1">
      <w:start w:val="1"/>
      <w:numFmt w:val="lowerRoman"/>
      <w:lvlText w:val="%9."/>
      <w:lvlJc w:val="right"/>
      <w:pPr>
        <w:ind w:left="7008" w:hanging="180"/>
      </w:pPr>
    </w:lvl>
  </w:abstractNum>
  <w:abstractNum w:abstractNumId="14" w15:restartNumberingAfterBreak="0">
    <w:nsid w:val="2E301DD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5" w15:restartNumberingAfterBreak="0">
    <w:nsid w:val="310262F7"/>
    <w:multiLevelType w:val="hybridMultilevel"/>
    <w:tmpl w:val="E04A2610"/>
    <w:lvl w:ilvl="0" w:tplc="ABCE7B00">
      <w:start w:val="1"/>
      <w:numFmt w:val="bullet"/>
      <w:lvlText w:val="&gt;"/>
      <w:lvlJc w:val="left"/>
      <w:pPr>
        <w:ind w:left="1212" w:hanging="360"/>
      </w:pPr>
      <w:rPr>
        <w:rFonts w:ascii="Arial" w:hAnsi="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16" w15:restartNumberingAfterBreak="0">
    <w:nsid w:val="339E67AF"/>
    <w:multiLevelType w:val="hybridMultilevel"/>
    <w:tmpl w:val="08480B30"/>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1A79B8"/>
    <w:multiLevelType w:val="hybridMultilevel"/>
    <w:tmpl w:val="A928E7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F37722"/>
    <w:multiLevelType w:val="hybridMultilevel"/>
    <w:tmpl w:val="9EBE7E42"/>
    <w:lvl w:ilvl="0" w:tplc="0696030E">
      <w:start w:val="1"/>
      <w:numFmt w:val="lowerRoman"/>
      <w:lvlText w:val="(%1)"/>
      <w:lvlJc w:val="left"/>
      <w:pPr>
        <w:ind w:left="2320" w:hanging="720"/>
      </w:pPr>
      <w:rPr>
        <w:rFonts w:hint="default"/>
      </w:rPr>
    </w:lvl>
    <w:lvl w:ilvl="1" w:tplc="0C090019" w:tentative="1">
      <w:start w:val="1"/>
      <w:numFmt w:val="lowerLetter"/>
      <w:lvlText w:val="%2."/>
      <w:lvlJc w:val="left"/>
      <w:pPr>
        <w:ind w:left="2680" w:hanging="360"/>
      </w:pPr>
    </w:lvl>
    <w:lvl w:ilvl="2" w:tplc="0C09001B" w:tentative="1">
      <w:start w:val="1"/>
      <w:numFmt w:val="lowerRoman"/>
      <w:lvlText w:val="%3."/>
      <w:lvlJc w:val="right"/>
      <w:pPr>
        <w:ind w:left="3400" w:hanging="180"/>
      </w:pPr>
    </w:lvl>
    <w:lvl w:ilvl="3" w:tplc="0C09000F" w:tentative="1">
      <w:start w:val="1"/>
      <w:numFmt w:val="decimal"/>
      <w:lvlText w:val="%4."/>
      <w:lvlJc w:val="left"/>
      <w:pPr>
        <w:ind w:left="4120" w:hanging="360"/>
      </w:pPr>
    </w:lvl>
    <w:lvl w:ilvl="4" w:tplc="0C090019" w:tentative="1">
      <w:start w:val="1"/>
      <w:numFmt w:val="lowerLetter"/>
      <w:lvlText w:val="%5."/>
      <w:lvlJc w:val="left"/>
      <w:pPr>
        <w:ind w:left="4840" w:hanging="360"/>
      </w:pPr>
    </w:lvl>
    <w:lvl w:ilvl="5" w:tplc="0C09001B" w:tentative="1">
      <w:start w:val="1"/>
      <w:numFmt w:val="lowerRoman"/>
      <w:lvlText w:val="%6."/>
      <w:lvlJc w:val="right"/>
      <w:pPr>
        <w:ind w:left="5560" w:hanging="180"/>
      </w:pPr>
    </w:lvl>
    <w:lvl w:ilvl="6" w:tplc="0C09000F" w:tentative="1">
      <w:start w:val="1"/>
      <w:numFmt w:val="decimal"/>
      <w:lvlText w:val="%7."/>
      <w:lvlJc w:val="left"/>
      <w:pPr>
        <w:ind w:left="6280" w:hanging="360"/>
      </w:pPr>
    </w:lvl>
    <w:lvl w:ilvl="7" w:tplc="0C090019" w:tentative="1">
      <w:start w:val="1"/>
      <w:numFmt w:val="lowerLetter"/>
      <w:lvlText w:val="%8."/>
      <w:lvlJc w:val="left"/>
      <w:pPr>
        <w:ind w:left="7000" w:hanging="360"/>
      </w:pPr>
    </w:lvl>
    <w:lvl w:ilvl="8" w:tplc="0C09001B" w:tentative="1">
      <w:start w:val="1"/>
      <w:numFmt w:val="lowerRoman"/>
      <w:lvlText w:val="%9."/>
      <w:lvlJc w:val="right"/>
      <w:pPr>
        <w:ind w:left="7720" w:hanging="180"/>
      </w:pPr>
    </w:lvl>
  </w:abstractNum>
  <w:abstractNum w:abstractNumId="19" w15:restartNumberingAfterBreak="0">
    <w:nsid w:val="48B759EC"/>
    <w:multiLevelType w:val="hybridMultilevel"/>
    <w:tmpl w:val="F72E266E"/>
    <w:lvl w:ilvl="0" w:tplc="0C090017">
      <w:start w:val="1"/>
      <w:numFmt w:val="lowerLetter"/>
      <w:lvlText w:val="%1)"/>
      <w:lvlJc w:val="left"/>
      <w:pPr>
        <w:ind w:left="1600" w:hanging="360"/>
      </w:pPr>
    </w:lvl>
    <w:lvl w:ilvl="1" w:tplc="0C090019" w:tentative="1">
      <w:start w:val="1"/>
      <w:numFmt w:val="lowerLetter"/>
      <w:lvlText w:val="%2."/>
      <w:lvlJc w:val="left"/>
      <w:pPr>
        <w:ind w:left="2320" w:hanging="360"/>
      </w:pPr>
    </w:lvl>
    <w:lvl w:ilvl="2" w:tplc="0C09001B" w:tentative="1">
      <w:start w:val="1"/>
      <w:numFmt w:val="lowerRoman"/>
      <w:lvlText w:val="%3."/>
      <w:lvlJc w:val="right"/>
      <w:pPr>
        <w:ind w:left="3040" w:hanging="180"/>
      </w:pPr>
    </w:lvl>
    <w:lvl w:ilvl="3" w:tplc="0C09000F" w:tentative="1">
      <w:start w:val="1"/>
      <w:numFmt w:val="decimal"/>
      <w:lvlText w:val="%4."/>
      <w:lvlJc w:val="left"/>
      <w:pPr>
        <w:ind w:left="3760" w:hanging="360"/>
      </w:pPr>
    </w:lvl>
    <w:lvl w:ilvl="4" w:tplc="0C090019" w:tentative="1">
      <w:start w:val="1"/>
      <w:numFmt w:val="lowerLetter"/>
      <w:lvlText w:val="%5."/>
      <w:lvlJc w:val="left"/>
      <w:pPr>
        <w:ind w:left="4480" w:hanging="360"/>
      </w:pPr>
    </w:lvl>
    <w:lvl w:ilvl="5" w:tplc="0C09001B">
      <w:start w:val="1"/>
      <w:numFmt w:val="lowerRoman"/>
      <w:lvlText w:val="%6."/>
      <w:lvlJc w:val="right"/>
      <w:pPr>
        <w:ind w:left="5200" w:hanging="180"/>
      </w:pPr>
    </w:lvl>
    <w:lvl w:ilvl="6" w:tplc="0C09000F" w:tentative="1">
      <w:start w:val="1"/>
      <w:numFmt w:val="decimal"/>
      <w:lvlText w:val="%7."/>
      <w:lvlJc w:val="left"/>
      <w:pPr>
        <w:ind w:left="5920" w:hanging="360"/>
      </w:pPr>
    </w:lvl>
    <w:lvl w:ilvl="7" w:tplc="0C090019" w:tentative="1">
      <w:start w:val="1"/>
      <w:numFmt w:val="lowerLetter"/>
      <w:lvlText w:val="%8."/>
      <w:lvlJc w:val="left"/>
      <w:pPr>
        <w:ind w:left="6640" w:hanging="360"/>
      </w:pPr>
    </w:lvl>
    <w:lvl w:ilvl="8" w:tplc="0C09001B" w:tentative="1">
      <w:start w:val="1"/>
      <w:numFmt w:val="lowerRoman"/>
      <w:lvlText w:val="%9."/>
      <w:lvlJc w:val="right"/>
      <w:pPr>
        <w:ind w:left="7360" w:hanging="180"/>
      </w:pPr>
    </w:lvl>
  </w:abstractNum>
  <w:abstractNum w:abstractNumId="20" w15:restartNumberingAfterBreak="0">
    <w:nsid w:val="4C923904"/>
    <w:multiLevelType w:val="hybridMultilevel"/>
    <w:tmpl w:val="0E5E7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9C43A6"/>
    <w:multiLevelType w:val="hybridMultilevel"/>
    <w:tmpl w:val="19D68F86"/>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08E12A7"/>
    <w:multiLevelType w:val="hybridMultilevel"/>
    <w:tmpl w:val="6BA62750"/>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4F1A33"/>
    <w:multiLevelType w:val="hybridMultilevel"/>
    <w:tmpl w:val="EABA982A"/>
    <w:lvl w:ilvl="0" w:tplc="9310331A">
      <w:start w:val="1"/>
      <w:numFmt w:val="lowerLetter"/>
      <w:lvlText w:val="(%1)"/>
      <w:lvlJc w:val="left"/>
      <w:pPr>
        <w:ind w:left="1530" w:hanging="360"/>
      </w:pPr>
      <w:rPr>
        <w:rFonts w:hint="default"/>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24" w15:restartNumberingAfterBreak="0">
    <w:nsid w:val="55AA21F0"/>
    <w:multiLevelType w:val="hybridMultilevel"/>
    <w:tmpl w:val="06AC6452"/>
    <w:lvl w:ilvl="0" w:tplc="075A84B2">
      <w:start w:val="1"/>
      <w:numFmt w:val="decimal"/>
      <w:pStyle w:val="ACMATableHeader"/>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85C25"/>
    <w:multiLevelType w:val="hybridMultilevel"/>
    <w:tmpl w:val="8C5A01FC"/>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8301EF"/>
    <w:multiLevelType w:val="hybridMultilevel"/>
    <w:tmpl w:val="B3AE9222"/>
    <w:lvl w:ilvl="0" w:tplc="ABCE7B00">
      <w:start w:val="1"/>
      <w:numFmt w:val="bullet"/>
      <w:lvlText w:val="&gt;"/>
      <w:lvlJc w:val="left"/>
      <w:pPr>
        <w:ind w:left="1212" w:hanging="360"/>
      </w:pPr>
      <w:rPr>
        <w:rFonts w:ascii="Arial" w:hAnsi="Arial"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7" w15:restartNumberingAfterBreak="0">
    <w:nsid w:val="62E70CAE"/>
    <w:multiLevelType w:val="hybridMultilevel"/>
    <w:tmpl w:val="5B98662C"/>
    <w:lvl w:ilvl="0" w:tplc="6E2056D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C30333"/>
    <w:multiLevelType w:val="hybridMultilevel"/>
    <w:tmpl w:val="A5FC2D54"/>
    <w:lvl w:ilvl="0" w:tplc="65EA47EC">
      <w:start w:val="1"/>
      <w:numFmt w:val="decimal"/>
      <w:pStyle w:val="Captionfigure"/>
      <w:lvlText w:val="Figure %1:"/>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071478"/>
    <w:multiLevelType w:val="hybridMultilevel"/>
    <w:tmpl w:val="4560EABA"/>
    <w:lvl w:ilvl="0" w:tplc="01D2533A">
      <w:start w:val="1"/>
      <w:numFmt w:val="decimal"/>
      <w:pStyle w:val="ACMAFigureHeader"/>
      <w:lvlText w:val="Figure %1: "/>
      <w:lvlJc w:val="left"/>
      <w:pPr>
        <w:tabs>
          <w:tab w:val="num" w:pos="1021"/>
        </w:tabs>
        <w:ind w:left="1021" w:hanging="102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D4F12"/>
    <w:multiLevelType w:val="hybridMultilevel"/>
    <w:tmpl w:val="65805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D757AE6"/>
    <w:multiLevelType w:val="hybridMultilevel"/>
    <w:tmpl w:val="4BAEE1E2"/>
    <w:lvl w:ilvl="0" w:tplc="0DA4929C">
      <w:start w:val="1"/>
      <w:numFmt w:val="decimal"/>
      <w:pStyle w:val="Caption"/>
      <w:lvlText w:val="Table %1:"/>
      <w:lvlJc w:val="left"/>
      <w:pPr>
        <w:tabs>
          <w:tab w:val="num" w:pos="964"/>
        </w:tabs>
        <w:ind w:left="964" w:hanging="9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F636AF"/>
    <w:multiLevelType w:val="multilevel"/>
    <w:tmpl w:val="2C9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EB42BB"/>
    <w:multiLevelType w:val="hybridMultilevel"/>
    <w:tmpl w:val="9DE6288E"/>
    <w:lvl w:ilvl="0" w:tplc="ABCE7B00">
      <w:start w:val="1"/>
      <w:numFmt w:val="bullet"/>
      <w:lvlText w:val="&gt;"/>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C6E6E35"/>
    <w:multiLevelType w:val="hybridMultilevel"/>
    <w:tmpl w:val="4F246CF8"/>
    <w:lvl w:ilvl="0" w:tplc="0C090017">
      <w:start w:val="1"/>
      <w:numFmt w:val="lowerLetter"/>
      <w:lvlText w:val="%1)"/>
      <w:lvlJc w:val="left"/>
      <w:pPr>
        <w:ind w:left="1890" w:hanging="360"/>
      </w:p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num w:numId="1">
    <w:abstractNumId w:val="4"/>
  </w:num>
  <w:num w:numId="2">
    <w:abstractNumId w:val="2"/>
  </w:num>
  <w:num w:numId="3">
    <w:abstractNumId w:val="3"/>
  </w:num>
  <w:num w:numId="4">
    <w:abstractNumId w:val="1"/>
  </w:num>
  <w:num w:numId="5">
    <w:abstractNumId w:val="14"/>
  </w:num>
  <w:num w:numId="6">
    <w:abstractNumId w:val="29"/>
  </w:num>
  <w:num w:numId="7">
    <w:abstractNumId w:val="24"/>
  </w:num>
  <w:num w:numId="8">
    <w:abstractNumId w:val="28"/>
  </w:num>
  <w:num w:numId="9">
    <w:abstractNumId w:val="31"/>
  </w:num>
  <w:num w:numId="10">
    <w:abstractNumId w:val="8"/>
  </w:num>
  <w:num w:numId="11">
    <w:abstractNumId w:val="7"/>
  </w:num>
  <w:num w:numId="12">
    <w:abstractNumId w:val="6"/>
  </w:num>
  <w:num w:numId="13">
    <w:abstractNumId w:val="32"/>
  </w:num>
  <w:num w:numId="14">
    <w:abstractNumId w:val="0"/>
  </w:num>
  <w:num w:numId="15">
    <w:abstractNumId w:val="20"/>
  </w:num>
  <w:num w:numId="16">
    <w:abstractNumId w:val="22"/>
  </w:num>
  <w:num w:numId="17">
    <w:abstractNumId w:val="5"/>
  </w:num>
  <w:num w:numId="18">
    <w:abstractNumId w:val="16"/>
  </w:num>
  <w:num w:numId="19">
    <w:abstractNumId w:val="22"/>
  </w:num>
  <w:num w:numId="20">
    <w:abstractNumId w:val="27"/>
  </w:num>
  <w:num w:numId="21">
    <w:abstractNumId w:val="21"/>
  </w:num>
  <w:num w:numId="22">
    <w:abstractNumId w:val="12"/>
  </w:num>
  <w:num w:numId="23">
    <w:abstractNumId w:val="15"/>
  </w:num>
  <w:num w:numId="24">
    <w:abstractNumId w:val="26"/>
  </w:num>
  <w:num w:numId="25">
    <w:abstractNumId w:val="30"/>
  </w:num>
  <w:num w:numId="26">
    <w:abstractNumId w:val="11"/>
  </w:num>
  <w:num w:numId="27">
    <w:abstractNumId w:val="10"/>
  </w:num>
  <w:num w:numId="28">
    <w:abstractNumId w:val="9"/>
  </w:num>
  <w:num w:numId="29">
    <w:abstractNumId w:val="25"/>
  </w:num>
  <w:num w:numId="30">
    <w:abstractNumId w:val="4"/>
  </w:num>
  <w:num w:numId="31">
    <w:abstractNumId w:val="33"/>
  </w:num>
  <w:num w:numId="32">
    <w:abstractNumId w:val="34"/>
  </w:num>
  <w:num w:numId="33">
    <w:abstractNumId w:val="23"/>
  </w:num>
  <w:num w:numId="34">
    <w:abstractNumId w:val="19"/>
  </w:num>
  <w:num w:numId="35">
    <w:abstractNumId w:val="13"/>
  </w:num>
  <w:num w:numId="36">
    <w:abstractNumId w:val="18"/>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1" w:spinCount="100000" w:hashValue="UuhwmbLPpAJTwtycv+GCfKuegsnsBjE7IosGT5opg90=" w:saltValue="GDgyf5ds+0Qv2JvcZxUb4A==" w:algorithmName="SHA-256"/>
  <w:defaultTabStop w:val="284"/>
  <w:evenAndOddHeaders/>
  <w:drawingGridHorizontalSpacing w:val="100"/>
  <w:displayHorizontalDrawingGridEvery w:val="2"/>
  <w:characterSpacingControl w:val="doNotCompress"/>
  <w:hdrShapeDefaults>
    <o:shapedefaults v:ext="edit" spidmax="2049">
      <o:colormru v:ext="edit" colors="red,#4d4d4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33"/>
    <w:rsid w:val="00006D77"/>
    <w:rsid w:val="000076F4"/>
    <w:rsid w:val="00010667"/>
    <w:rsid w:val="000111C1"/>
    <w:rsid w:val="000129D5"/>
    <w:rsid w:val="000131DD"/>
    <w:rsid w:val="0001500D"/>
    <w:rsid w:val="00015A56"/>
    <w:rsid w:val="00015AE7"/>
    <w:rsid w:val="00015E28"/>
    <w:rsid w:val="00016E21"/>
    <w:rsid w:val="0001719C"/>
    <w:rsid w:val="0002224E"/>
    <w:rsid w:val="00023587"/>
    <w:rsid w:val="00023E47"/>
    <w:rsid w:val="00026F91"/>
    <w:rsid w:val="00027695"/>
    <w:rsid w:val="00030935"/>
    <w:rsid w:val="00033E75"/>
    <w:rsid w:val="00036147"/>
    <w:rsid w:val="00043836"/>
    <w:rsid w:val="0004764C"/>
    <w:rsid w:val="0005011A"/>
    <w:rsid w:val="0005045A"/>
    <w:rsid w:val="00051C1E"/>
    <w:rsid w:val="000539F9"/>
    <w:rsid w:val="00054C27"/>
    <w:rsid w:val="00055EC3"/>
    <w:rsid w:val="000563CE"/>
    <w:rsid w:val="0006270E"/>
    <w:rsid w:val="000659B6"/>
    <w:rsid w:val="0006686F"/>
    <w:rsid w:val="00066C08"/>
    <w:rsid w:val="0006722A"/>
    <w:rsid w:val="000708EB"/>
    <w:rsid w:val="000732CF"/>
    <w:rsid w:val="00073337"/>
    <w:rsid w:val="00075641"/>
    <w:rsid w:val="000756FA"/>
    <w:rsid w:val="00075B96"/>
    <w:rsid w:val="0008196A"/>
    <w:rsid w:val="00081FCE"/>
    <w:rsid w:val="00082DCE"/>
    <w:rsid w:val="00084497"/>
    <w:rsid w:val="00090345"/>
    <w:rsid w:val="000915ED"/>
    <w:rsid w:val="0009209D"/>
    <w:rsid w:val="000922E6"/>
    <w:rsid w:val="00092798"/>
    <w:rsid w:val="000947B9"/>
    <w:rsid w:val="000969BD"/>
    <w:rsid w:val="000969BF"/>
    <w:rsid w:val="000A0C22"/>
    <w:rsid w:val="000A1400"/>
    <w:rsid w:val="000A2E11"/>
    <w:rsid w:val="000A3595"/>
    <w:rsid w:val="000A3C43"/>
    <w:rsid w:val="000A4A51"/>
    <w:rsid w:val="000A5257"/>
    <w:rsid w:val="000A5D2B"/>
    <w:rsid w:val="000A647A"/>
    <w:rsid w:val="000A7D65"/>
    <w:rsid w:val="000B4320"/>
    <w:rsid w:val="000B4B6A"/>
    <w:rsid w:val="000B5DE3"/>
    <w:rsid w:val="000C0A57"/>
    <w:rsid w:val="000C230C"/>
    <w:rsid w:val="000C4A52"/>
    <w:rsid w:val="000C6AB4"/>
    <w:rsid w:val="000D0ED0"/>
    <w:rsid w:val="000D6134"/>
    <w:rsid w:val="000D67E9"/>
    <w:rsid w:val="000D71D9"/>
    <w:rsid w:val="000D76E0"/>
    <w:rsid w:val="000D7E8B"/>
    <w:rsid w:val="000E0B9C"/>
    <w:rsid w:val="000E37BF"/>
    <w:rsid w:val="000E383B"/>
    <w:rsid w:val="000E4449"/>
    <w:rsid w:val="000E5150"/>
    <w:rsid w:val="000E6097"/>
    <w:rsid w:val="000E707A"/>
    <w:rsid w:val="000F44B9"/>
    <w:rsid w:val="000F502A"/>
    <w:rsid w:val="000F744F"/>
    <w:rsid w:val="001001D3"/>
    <w:rsid w:val="0010078A"/>
    <w:rsid w:val="0010110B"/>
    <w:rsid w:val="00103829"/>
    <w:rsid w:val="001042ED"/>
    <w:rsid w:val="00104DD0"/>
    <w:rsid w:val="001059B2"/>
    <w:rsid w:val="00105B87"/>
    <w:rsid w:val="0010624F"/>
    <w:rsid w:val="001070C9"/>
    <w:rsid w:val="00111FCE"/>
    <w:rsid w:val="001134B8"/>
    <w:rsid w:val="00116A05"/>
    <w:rsid w:val="00122369"/>
    <w:rsid w:val="001229A5"/>
    <w:rsid w:val="00123510"/>
    <w:rsid w:val="00123733"/>
    <w:rsid w:val="0012489B"/>
    <w:rsid w:val="0012545D"/>
    <w:rsid w:val="00126DF3"/>
    <w:rsid w:val="00130017"/>
    <w:rsid w:val="0013051D"/>
    <w:rsid w:val="00130F91"/>
    <w:rsid w:val="00131ED4"/>
    <w:rsid w:val="001349ED"/>
    <w:rsid w:val="00137424"/>
    <w:rsid w:val="00140318"/>
    <w:rsid w:val="00141AD9"/>
    <w:rsid w:val="00142CBE"/>
    <w:rsid w:val="00143720"/>
    <w:rsid w:val="001446F7"/>
    <w:rsid w:val="00146CE6"/>
    <w:rsid w:val="00146D0F"/>
    <w:rsid w:val="001523F9"/>
    <w:rsid w:val="00152903"/>
    <w:rsid w:val="00152B71"/>
    <w:rsid w:val="00153FD5"/>
    <w:rsid w:val="0015421B"/>
    <w:rsid w:val="0015614F"/>
    <w:rsid w:val="001571F7"/>
    <w:rsid w:val="001577C2"/>
    <w:rsid w:val="00157833"/>
    <w:rsid w:val="00161B85"/>
    <w:rsid w:val="001622CF"/>
    <w:rsid w:val="001633C4"/>
    <w:rsid w:val="001638A2"/>
    <w:rsid w:val="00163E37"/>
    <w:rsid w:val="00167A0F"/>
    <w:rsid w:val="001704D5"/>
    <w:rsid w:val="00171591"/>
    <w:rsid w:val="00173981"/>
    <w:rsid w:val="00174AF2"/>
    <w:rsid w:val="00175636"/>
    <w:rsid w:val="001758D2"/>
    <w:rsid w:val="00175DE5"/>
    <w:rsid w:val="0017633E"/>
    <w:rsid w:val="0017719D"/>
    <w:rsid w:val="0018103D"/>
    <w:rsid w:val="00183343"/>
    <w:rsid w:val="00183BD0"/>
    <w:rsid w:val="00183FD7"/>
    <w:rsid w:val="0018460F"/>
    <w:rsid w:val="00185CAB"/>
    <w:rsid w:val="001875B7"/>
    <w:rsid w:val="00187A30"/>
    <w:rsid w:val="00187CB3"/>
    <w:rsid w:val="0019050A"/>
    <w:rsid w:val="001910D4"/>
    <w:rsid w:val="00191451"/>
    <w:rsid w:val="0019154A"/>
    <w:rsid w:val="00195E53"/>
    <w:rsid w:val="00196A7D"/>
    <w:rsid w:val="00196EA3"/>
    <w:rsid w:val="001976E3"/>
    <w:rsid w:val="00197957"/>
    <w:rsid w:val="00197C31"/>
    <w:rsid w:val="001A3746"/>
    <w:rsid w:val="001A44EC"/>
    <w:rsid w:val="001A665A"/>
    <w:rsid w:val="001A6B51"/>
    <w:rsid w:val="001B0ACF"/>
    <w:rsid w:val="001B163B"/>
    <w:rsid w:val="001B58AA"/>
    <w:rsid w:val="001B7E48"/>
    <w:rsid w:val="001B7E9A"/>
    <w:rsid w:val="001C17CE"/>
    <w:rsid w:val="001C322A"/>
    <w:rsid w:val="001C36CA"/>
    <w:rsid w:val="001C44D1"/>
    <w:rsid w:val="001C5D27"/>
    <w:rsid w:val="001C6873"/>
    <w:rsid w:val="001C6AEE"/>
    <w:rsid w:val="001C7630"/>
    <w:rsid w:val="001D1D86"/>
    <w:rsid w:val="001D401C"/>
    <w:rsid w:val="001D4660"/>
    <w:rsid w:val="001D47B1"/>
    <w:rsid w:val="001D4F77"/>
    <w:rsid w:val="001D64C1"/>
    <w:rsid w:val="001D6D15"/>
    <w:rsid w:val="001D797E"/>
    <w:rsid w:val="001E01AD"/>
    <w:rsid w:val="001E6445"/>
    <w:rsid w:val="001E7DD9"/>
    <w:rsid w:val="001E7EA8"/>
    <w:rsid w:val="001F056F"/>
    <w:rsid w:val="001F659C"/>
    <w:rsid w:val="001F7558"/>
    <w:rsid w:val="00205B57"/>
    <w:rsid w:val="00207F4F"/>
    <w:rsid w:val="00210A5B"/>
    <w:rsid w:val="00211051"/>
    <w:rsid w:val="00211350"/>
    <w:rsid w:val="00211FFB"/>
    <w:rsid w:val="00213006"/>
    <w:rsid w:val="00214980"/>
    <w:rsid w:val="002157E0"/>
    <w:rsid w:val="00216A57"/>
    <w:rsid w:val="00220825"/>
    <w:rsid w:val="0022334F"/>
    <w:rsid w:val="0022363E"/>
    <w:rsid w:val="00226819"/>
    <w:rsid w:val="00226EE9"/>
    <w:rsid w:val="00231AFB"/>
    <w:rsid w:val="00233101"/>
    <w:rsid w:val="002334BD"/>
    <w:rsid w:val="00233817"/>
    <w:rsid w:val="0023527E"/>
    <w:rsid w:val="002367FF"/>
    <w:rsid w:val="00236A36"/>
    <w:rsid w:val="00237C82"/>
    <w:rsid w:val="00240CE9"/>
    <w:rsid w:val="002434BA"/>
    <w:rsid w:val="00245981"/>
    <w:rsid w:val="00246089"/>
    <w:rsid w:val="00246093"/>
    <w:rsid w:val="00246702"/>
    <w:rsid w:val="00247C59"/>
    <w:rsid w:val="00247F2E"/>
    <w:rsid w:val="00250ADC"/>
    <w:rsid w:val="00250B07"/>
    <w:rsid w:val="00257553"/>
    <w:rsid w:val="00260FB2"/>
    <w:rsid w:val="00261AF8"/>
    <w:rsid w:val="00262128"/>
    <w:rsid w:val="0027165D"/>
    <w:rsid w:val="002716DB"/>
    <w:rsid w:val="00273CEB"/>
    <w:rsid w:val="00274324"/>
    <w:rsid w:val="00274951"/>
    <w:rsid w:val="00275FE2"/>
    <w:rsid w:val="00276676"/>
    <w:rsid w:val="00281C89"/>
    <w:rsid w:val="0028282F"/>
    <w:rsid w:val="00285550"/>
    <w:rsid w:val="00286BE4"/>
    <w:rsid w:val="002926E7"/>
    <w:rsid w:val="00293EFA"/>
    <w:rsid w:val="0029593B"/>
    <w:rsid w:val="0029695B"/>
    <w:rsid w:val="00297FC5"/>
    <w:rsid w:val="002A0417"/>
    <w:rsid w:val="002A16D8"/>
    <w:rsid w:val="002A1BC8"/>
    <w:rsid w:val="002A1EF3"/>
    <w:rsid w:val="002A290A"/>
    <w:rsid w:val="002A3EF2"/>
    <w:rsid w:val="002A4553"/>
    <w:rsid w:val="002A5343"/>
    <w:rsid w:val="002B0DED"/>
    <w:rsid w:val="002B19A2"/>
    <w:rsid w:val="002B371D"/>
    <w:rsid w:val="002B381A"/>
    <w:rsid w:val="002B4FCC"/>
    <w:rsid w:val="002B59EC"/>
    <w:rsid w:val="002B7408"/>
    <w:rsid w:val="002B7CFD"/>
    <w:rsid w:val="002C0D86"/>
    <w:rsid w:val="002C15F2"/>
    <w:rsid w:val="002C210F"/>
    <w:rsid w:val="002C2692"/>
    <w:rsid w:val="002C48B9"/>
    <w:rsid w:val="002C59FF"/>
    <w:rsid w:val="002D2D28"/>
    <w:rsid w:val="002D2E15"/>
    <w:rsid w:val="002D2E8F"/>
    <w:rsid w:val="002D3600"/>
    <w:rsid w:val="002D7A7A"/>
    <w:rsid w:val="002D7C25"/>
    <w:rsid w:val="002E0A37"/>
    <w:rsid w:val="002E1FE1"/>
    <w:rsid w:val="002E3571"/>
    <w:rsid w:val="002E4DDC"/>
    <w:rsid w:val="002E5F72"/>
    <w:rsid w:val="002F0901"/>
    <w:rsid w:val="002F2808"/>
    <w:rsid w:val="002F49C1"/>
    <w:rsid w:val="002F4FD5"/>
    <w:rsid w:val="002F6172"/>
    <w:rsid w:val="002F7A7A"/>
    <w:rsid w:val="00302480"/>
    <w:rsid w:val="0030447F"/>
    <w:rsid w:val="00304676"/>
    <w:rsid w:val="00313EE9"/>
    <w:rsid w:val="00314CA7"/>
    <w:rsid w:val="00314EA2"/>
    <w:rsid w:val="003165E6"/>
    <w:rsid w:val="00320265"/>
    <w:rsid w:val="003215B5"/>
    <w:rsid w:val="003221CF"/>
    <w:rsid w:val="003233ED"/>
    <w:rsid w:val="00324D9F"/>
    <w:rsid w:val="00326F80"/>
    <w:rsid w:val="00327948"/>
    <w:rsid w:val="0033000F"/>
    <w:rsid w:val="00330CDC"/>
    <w:rsid w:val="00332011"/>
    <w:rsid w:val="00332518"/>
    <w:rsid w:val="00332925"/>
    <w:rsid w:val="003332ED"/>
    <w:rsid w:val="0033508C"/>
    <w:rsid w:val="00336476"/>
    <w:rsid w:val="003368DC"/>
    <w:rsid w:val="00342D29"/>
    <w:rsid w:val="00344DAF"/>
    <w:rsid w:val="00345927"/>
    <w:rsid w:val="00345B28"/>
    <w:rsid w:val="00347843"/>
    <w:rsid w:val="003502DD"/>
    <w:rsid w:val="00350584"/>
    <w:rsid w:val="00350F8B"/>
    <w:rsid w:val="00351857"/>
    <w:rsid w:val="00351E07"/>
    <w:rsid w:val="003545E8"/>
    <w:rsid w:val="003558B6"/>
    <w:rsid w:val="00355CA0"/>
    <w:rsid w:val="00356B0C"/>
    <w:rsid w:val="003570F9"/>
    <w:rsid w:val="00357C1D"/>
    <w:rsid w:val="003610E1"/>
    <w:rsid w:val="0036125E"/>
    <w:rsid w:val="003659A9"/>
    <w:rsid w:val="003671BE"/>
    <w:rsid w:val="00372485"/>
    <w:rsid w:val="00373200"/>
    <w:rsid w:val="00374FEE"/>
    <w:rsid w:val="00375EF5"/>
    <w:rsid w:val="003767A5"/>
    <w:rsid w:val="00381D15"/>
    <w:rsid w:val="00382B17"/>
    <w:rsid w:val="00384286"/>
    <w:rsid w:val="00385254"/>
    <w:rsid w:val="00387561"/>
    <w:rsid w:val="00390434"/>
    <w:rsid w:val="00392BF0"/>
    <w:rsid w:val="00395507"/>
    <w:rsid w:val="003A04DB"/>
    <w:rsid w:val="003A0A8B"/>
    <w:rsid w:val="003A20DB"/>
    <w:rsid w:val="003A5AEE"/>
    <w:rsid w:val="003A5D34"/>
    <w:rsid w:val="003A5F5B"/>
    <w:rsid w:val="003A722F"/>
    <w:rsid w:val="003A789A"/>
    <w:rsid w:val="003B12EC"/>
    <w:rsid w:val="003B3B0D"/>
    <w:rsid w:val="003B45B7"/>
    <w:rsid w:val="003B6042"/>
    <w:rsid w:val="003C0B7C"/>
    <w:rsid w:val="003C1D2E"/>
    <w:rsid w:val="003C2938"/>
    <w:rsid w:val="003C5C29"/>
    <w:rsid w:val="003C6287"/>
    <w:rsid w:val="003C6CB7"/>
    <w:rsid w:val="003C77E0"/>
    <w:rsid w:val="003C789E"/>
    <w:rsid w:val="003D135F"/>
    <w:rsid w:val="003D17D7"/>
    <w:rsid w:val="003D2678"/>
    <w:rsid w:val="003D5E72"/>
    <w:rsid w:val="003D6AF5"/>
    <w:rsid w:val="003D71A3"/>
    <w:rsid w:val="003E2B8A"/>
    <w:rsid w:val="003E2CEF"/>
    <w:rsid w:val="003E3272"/>
    <w:rsid w:val="003E3F6B"/>
    <w:rsid w:val="003E5822"/>
    <w:rsid w:val="003F048D"/>
    <w:rsid w:val="003F10EE"/>
    <w:rsid w:val="003F114A"/>
    <w:rsid w:val="003F16F6"/>
    <w:rsid w:val="003F1F3E"/>
    <w:rsid w:val="003F4CA2"/>
    <w:rsid w:val="003F4DC7"/>
    <w:rsid w:val="003F4FB4"/>
    <w:rsid w:val="003F5235"/>
    <w:rsid w:val="004009D7"/>
    <w:rsid w:val="0040158F"/>
    <w:rsid w:val="004027E4"/>
    <w:rsid w:val="00403720"/>
    <w:rsid w:val="00405EB0"/>
    <w:rsid w:val="00405F92"/>
    <w:rsid w:val="00405FFF"/>
    <w:rsid w:val="00407702"/>
    <w:rsid w:val="004079F4"/>
    <w:rsid w:val="0041071D"/>
    <w:rsid w:val="00413F11"/>
    <w:rsid w:val="00414AFC"/>
    <w:rsid w:val="004151A7"/>
    <w:rsid w:val="00415310"/>
    <w:rsid w:val="00416089"/>
    <w:rsid w:val="00416C98"/>
    <w:rsid w:val="00420C7C"/>
    <w:rsid w:val="004213DD"/>
    <w:rsid w:val="00421709"/>
    <w:rsid w:val="004224C1"/>
    <w:rsid w:val="00423763"/>
    <w:rsid w:val="004238BF"/>
    <w:rsid w:val="00424AA2"/>
    <w:rsid w:val="00425462"/>
    <w:rsid w:val="0042762F"/>
    <w:rsid w:val="00427DC7"/>
    <w:rsid w:val="00427FF4"/>
    <w:rsid w:val="00431613"/>
    <w:rsid w:val="00431792"/>
    <w:rsid w:val="0043297A"/>
    <w:rsid w:val="00432EB2"/>
    <w:rsid w:val="004352A9"/>
    <w:rsid w:val="004367F6"/>
    <w:rsid w:val="0043714F"/>
    <w:rsid w:val="00440EAD"/>
    <w:rsid w:val="00442192"/>
    <w:rsid w:val="004438B5"/>
    <w:rsid w:val="00447037"/>
    <w:rsid w:val="0045124D"/>
    <w:rsid w:val="00454596"/>
    <w:rsid w:val="0045514C"/>
    <w:rsid w:val="00455593"/>
    <w:rsid w:val="0045605D"/>
    <w:rsid w:val="00457D23"/>
    <w:rsid w:val="0046134E"/>
    <w:rsid w:val="0046135B"/>
    <w:rsid w:val="0046185B"/>
    <w:rsid w:val="00461D47"/>
    <w:rsid w:val="004623FC"/>
    <w:rsid w:val="004639F7"/>
    <w:rsid w:val="004657F4"/>
    <w:rsid w:val="00465D8F"/>
    <w:rsid w:val="004718CC"/>
    <w:rsid w:val="00481695"/>
    <w:rsid w:val="00482A68"/>
    <w:rsid w:val="004830DF"/>
    <w:rsid w:val="00484B9E"/>
    <w:rsid w:val="00485D41"/>
    <w:rsid w:val="004901AA"/>
    <w:rsid w:val="0049057C"/>
    <w:rsid w:val="0049102B"/>
    <w:rsid w:val="004916FB"/>
    <w:rsid w:val="004957BA"/>
    <w:rsid w:val="00495A96"/>
    <w:rsid w:val="00495BB3"/>
    <w:rsid w:val="00495C5D"/>
    <w:rsid w:val="004A2AFC"/>
    <w:rsid w:val="004A3BE9"/>
    <w:rsid w:val="004A3F38"/>
    <w:rsid w:val="004A56BB"/>
    <w:rsid w:val="004A6C2B"/>
    <w:rsid w:val="004B1751"/>
    <w:rsid w:val="004C0253"/>
    <w:rsid w:val="004C3C19"/>
    <w:rsid w:val="004C55F0"/>
    <w:rsid w:val="004D0420"/>
    <w:rsid w:val="004D0FAB"/>
    <w:rsid w:val="004D1B4E"/>
    <w:rsid w:val="004D2926"/>
    <w:rsid w:val="004D3363"/>
    <w:rsid w:val="004D452B"/>
    <w:rsid w:val="004D4D3D"/>
    <w:rsid w:val="004D56FF"/>
    <w:rsid w:val="004D5783"/>
    <w:rsid w:val="004D71AB"/>
    <w:rsid w:val="004D789D"/>
    <w:rsid w:val="004E1B11"/>
    <w:rsid w:val="004E26AE"/>
    <w:rsid w:val="004E39D3"/>
    <w:rsid w:val="004E454A"/>
    <w:rsid w:val="004E4E79"/>
    <w:rsid w:val="004E508A"/>
    <w:rsid w:val="004E5E6D"/>
    <w:rsid w:val="004E616D"/>
    <w:rsid w:val="004F1672"/>
    <w:rsid w:val="004F1BDE"/>
    <w:rsid w:val="004F1E34"/>
    <w:rsid w:val="004F2CEE"/>
    <w:rsid w:val="004F2EDA"/>
    <w:rsid w:val="004F556E"/>
    <w:rsid w:val="004F591C"/>
    <w:rsid w:val="004F6695"/>
    <w:rsid w:val="004F7F44"/>
    <w:rsid w:val="0050054F"/>
    <w:rsid w:val="005037B4"/>
    <w:rsid w:val="00503835"/>
    <w:rsid w:val="005079BF"/>
    <w:rsid w:val="0051269A"/>
    <w:rsid w:val="005149AD"/>
    <w:rsid w:val="005165BF"/>
    <w:rsid w:val="0052014F"/>
    <w:rsid w:val="00521943"/>
    <w:rsid w:val="005219E7"/>
    <w:rsid w:val="005309B4"/>
    <w:rsid w:val="00531202"/>
    <w:rsid w:val="00531B9A"/>
    <w:rsid w:val="00531D15"/>
    <w:rsid w:val="005325EA"/>
    <w:rsid w:val="0053306D"/>
    <w:rsid w:val="00536D92"/>
    <w:rsid w:val="00537604"/>
    <w:rsid w:val="0054007D"/>
    <w:rsid w:val="00540F15"/>
    <w:rsid w:val="00541DBB"/>
    <w:rsid w:val="00542377"/>
    <w:rsid w:val="00543534"/>
    <w:rsid w:val="00543B41"/>
    <w:rsid w:val="00546CEF"/>
    <w:rsid w:val="00547298"/>
    <w:rsid w:val="005476EB"/>
    <w:rsid w:val="005476EC"/>
    <w:rsid w:val="00550226"/>
    <w:rsid w:val="00551782"/>
    <w:rsid w:val="00555E3F"/>
    <w:rsid w:val="00563EF1"/>
    <w:rsid w:val="005648A8"/>
    <w:rsid w:val="0056556D"/>
    <w:rsid w:val="00566AB4"/>
    <w:rsid w:val="00571A4C"/>
    <w:rsid w:val="00572213"/>
    <w:rsid w:val="00574B1E"/>
    <w:rsid w:val="00575AC5"/>
    <w:rsid w:val="0057605D"/>
    <w:rsid w:val="00581347"/>
    <w:rsid w:val="00581AC9"/>
    <w:rsid w:val="00581DFB"/>
    <w:rsid w:val="005849F8"/>
    <w:rsid w:val="00584B7F"/>
    <w:rsid w:val="00585313"/>
    <w:rsid w:val="00585571"/>
    <w:rsid w:val="00586645"/>
    <w:rsid w:val="00586BE5"/>
    <w:rsid w:val="0059041D"/>
    <w:rsid w:val="00591841"/>
    <w:rsid w:val="005938DF"/>
    <w:rsid w:val="00594E9C"/>
    <w:rsid w:val="00597AA2"/>
    <w:rsid w:val="005A0074"/>
    <w:rsid w:val="005A0227"/>
    <w:rsid w:val="005A099B"/>
    <w:rsid w:val="005A26D8"/>
    <w:rsid w:val="005A2D9C"/>
    <w:rsid w:val="005A55FE"/>
    <w:rsid w:val="005A6347"/>
    <w:rsid w:val="005A6A11"/>
    <w:rsid w:val="005A72F0"/>
    <w:rsid w:val="005B0168"/>
    <w:rsid w:val="005B407B"/>
    <w:rsid w:val="005B7E6B"/>
    <w:rsid w:val="005B7EBC"/>
    <w:rsid w:val="005C1EFC"/>
    <w:rsid w:val="005C2307"/>
    <w:rsid w:val="005C32CE"/>
    <w:rsid w:val="005C4058"/>
    <w:rsid w:val="005C6659"/>
    <w:rsid w:val="005C704E"/>
    <w:rsid w:val="005D002C"/>
    <w:rsid w:val="005D2502"/>
    <w:rsid w:val="005D40BB"/>
    <w:rsid w:val="005D47F3"/>
    <w:rsid w:val="005D4975"/>
    <w:rsid w:val="005D49BF"/>
    <w:rsid w:val="005D4AA5"/>
    <w:rsid w:val="005D6767"/>
    <w:rsid w:val="005D6F4E"/>
    <w:rsid w:val="005D7C73"/>
    <w:rsid w:val="005E3ACD"/>
    <w:rsid w:val="005E53EA"/>
    <w:rsid w:val="005E56F5"/>
    <w:rsid w:val="005E656C"/>
    <w:rsid w:val="005E717E"/>
    <w:rsid w:val="005E7226"/>
    <w:rsid w:val="005E72C0"/>
    <w:rsid w:val="005E7A57"/>
    <w:rsid w:val="005F24B0"/>
    <w:rsid w:val="00604315"/>
    <w:rsid w:val="00604E26"/>
    <w:rsid w:val="006052CF"/>
    <w:rsid w:val="00605588"/>
    <w:rsid w:val="00605C77"/>
    <w:rsid w:val="00607B8D"/>
    <w:rsid w:val="006103A5"/>
    <w:rsid w:val="00611F5C"/>
    <w:rsid w:val="00614345"/>
    <w:rsid w:val="00614FAA"/>
    <w:rsid w:val="00616E09"/>
    <w:rsid w:val="00620492"/>
    <w:rsid w:val="00622A3B"/>
    <w:rsid w:val="00622CA7"/>
    <w:rsid w:val="00622EEA"/>
    <w:rsid w:val="0062396C"/>
    <w:rsid w:val="00623FF9"/>
    <w:rsid w:val="00627D4E"/>
    <w:rsid w:val="00631170"/>
    <w:rsid w:val="00632B89"/>
    <w:rsid w:val="006337DC"/>
    <w:rsid w:val="00633D1B"/>
    <w:rsid w:val="00634162"/>
    <w:rsid w:val="00634478"/>
    <w:rsid w:val="00636DE8"/>
    <w:rsid w:val="006436A8"/>
    <w:rsid w:val="00644373"/>
    <w:rsid w:val="00645915"/>
    <w:rsid w:val="00647A4A"/>
    <w:rsid w:val="00651361"/>
    <w:rsid w:val="006519BE"/>
    <w:rsid w:val="006519C3"/>
    <w:rsid w:val="00652B30"/>
    <w:rsid w:val="00653348"/>
    <w:rsid w:val="00656345"/>
    <w:rsid w:val="00656DC6"/>
    <w:rsid w:val="00656F4A"/>
    <w:rsid w:val="00660136"/>
    <w:rsid w:val="00660EC6"/>
    <w:rsid w:val="00664110"/>
    <w:rsid w:val="00664997"/>
    <w:rsid w:val="00664D17"/>
    <w:rsid w:val="006660D7"/>
    <w:rsid w:val="006664AA"/>
    <w:rsid w:val="00666520"/>
    <w:rsid w:val="00666F70"/>
    <w:rsid w:val="00667525"/>
    <w:rsid w:val="00667C5B"/>
    <w:rsid w:val="00671263"/>
    <w:rsid w:val="0067639E"/>
    <w:rsid w:val="00680ED9"/>
    <w:rsid w:val="00685B6C"/>
    <w:rsid w:val="00687A82"/>
    <w:rsid w:val="00691EB8"/>
    <w:rsid w:val="00692CDE"/>
    <w:rsid w:val="00693073"/>
    <w:rsid w:val="00693C6D"/>
    <w:rsid w:val="0069560C"/>
    <w:rsid w:val="00695C97"/>
    <w:rsid w:val="006977FF"/>
    <w:rsid w:val="006A00E3"/>
    <w:rsid w:val="006A01FA"/>
    <w:rsid w:val="006A0E9E"/>
    <w:rsid w:val="006A12D1"/>
    <w:rsid w:val="006A166C"/>
    <w:rsid w:val="006A25C7"/>
    <w:rsid w:val="006A2F9B"/>
    <w:rsid w:val="006A4AAD"/>
    <w:rsid w:val="006A6DA2"/>
    <w:rsid w:val="006A7AB2"/>
    <w:rsid w:val="006B2B53"/>
    <w:rsid w:val="006B4CA7"/>
    <w:rsid w:val="006B5466"/>
    <w:rsid w:val="006B5717"/>
    <w:rsid w:val="006B582F"/>
    <w:rsid w:val="006B5A45"/>
    <w:rsid w:val="006C0CEB"/>
    <w:rsid w:val="006C1F88"/>
    <w:rsid w:val="006C2ED9"/>
    <w:rsid w:val="006C2F3F"/>
    <w:rsid w:val="006C3B1E"/>
    <w:rsid w:val="006C47FD"/>
    <w:rsid w:val="006C5356"/>
    <w:rsid w:val="006C5C19"/>
    <w:rsid w:val="006C70A0"/>
    <w:rsid w:val="006C7623"/>
    <w:rsid w:val="006D012D"/>
    <w:rsid w:val="006D0F37"/>
    <w:rsid w:val="006D1DD6"/>
    <w:rsid w:val="006D215F"/>
    <w:rsid w:val="006D27CB"/>
    <w:rsid w:val="006D2F08"/>
    <w:rsid w:val="006D34F5"/>
    <w:rsid w:val="006D576C"/>
    <w:rsid w:val="006D5865"/>
    <w:rsid w:val="006D7D21"/>
    <w:rsid w:val="006E0372"/>
    <w:rsid w:val="006E4324"/>
    <w:rsid w:val="006E4B1B"/>
    <w:rsid w:val="006E5445"/>
    <w:rsid w:val="006E7D93"/>
    <w:rsid w:val="006F288D"/>
    <w:rsid w:val="006F37FB"/>
    <w:rsid w:val="006F606F"/>
    <w:rsid w:val="006F788B"/>
    <w:rsid w:val="007029A3"/>
    <w:rsid w:val="00703161"/>
    <w:rsid w:val="00706454"/>
    <w:rsid w:val="00706E4E"/>
    <w:rsid w:val="0070791C"/>
    <w:rsid w:val="0071383C"/>
    <w:rsid w:val="007138C6"/>
    <w:rsid w:val="007141A7"/>
    <w:rsid w:val="00715722"/>
    <w:rsid w:val="00715B9E"/>
    <w:rsid w:val="00715E6E"/>
    <w:rsid w:val="0071618B"/>
    <w:rsid w:val="00721032"/>
    <w:rsid w:val="00721B55"/>
    <w:rsid w:val="00723E5C"/>
    <w:rsid w:val="00726CE4"/>
    <w:rsid w:val="00726E87"/>
    <w:rsid w:val="00734143"/>
    <w:rsid w:val="0073484F"/>
    <w:rsid w:val="00734DB4"/>
    <w:rsid w:val="007365D1"/>
    <w:rsid w:val="00737E47"/>
    <w:rsid w:val="00740412"/>
    <w:rsid w:val="00740A8B"/>
    <w:rsid w:val="00740EAC"/>
    <w:rsid w:val="00743130"/>
    <w:rsid w:val="007441AD"/>
    <w:rsid w:val="00744956"/>
    <w:rsid w:val="00745A5C"/>
    <w:rsid w:val="0074605F"/>
    <w:rsid w:val="00747E94"/>
    <w:rsid w:val="00754C83"/>
    <w:rsid w:val="007620A4"/>
    <w:rsid w:val="00765DF8"/>
    <w:rsid w:val="00766749"/>
    <w:rsid w:val="007668AF"/>
    <w:rsid w:val="007668D6"/>
    <w:rsid w:val="00767C1B"/>
    <w:rsid w:val="00767EBD"/>
    <w:rsid w:val="007714A9"/>
    <w:rsid w:val="00774076"/>
    <w:rsid w:val="00774F88"/>
    <w:rsid w:val="00774FDB"/>
    <w:rsid w:val="007755E6"/>
    <w:rsid w:val="00775DC4"/>
    <w:rsid w:val="00775F28"/>
    <w:rsid w:val="00776ED4"/>
    <w:rsid w:val="00777BA2"/>
    <w:rsid w:val="00781293"/>
    <w:rsid w:val="00781408"/>
    <w:rsid w:val="00784F7F"/>
    <w:rsid w:val="007878BD"/>
    <w:rsid w:val="00792843"/>
    <w:rsid w:val="007959D8"/>
    <w:rsid w:val="00796F25"/>
    <w:rsid w:val="007A2E98"/>
    <w:rsid w:val="007A3BA3"/>
    <w:rsid w:val="007A3FC1"/>
    <w:rsid w:val="007A429A"/>
    <w:rsid w:val="007A62BF"/>
    <w:rsid w:val="007A6B53"/>
    <w:rsid w:val="007A6CC0"/>
    <w:rsid w:val="007A7FEC"/>
    <w:rsid w:val="007B0857"/>
    <w:rsid w:val="007B1499"/>
    <w:rsid w:val="007B1BBF"/>
    <w:rsid w:val="007B2960"/>
    <w:rsid w:val="007B355D"/>
    <w:rsid w:val="007B378A"/>
    <w:rsid w:val="007B3AD4"/>
    <w:rsid w:val="007B48A0"/>
    <w:rsid w:val="007B58C4"/>
    <w:rsid w:val="007B7980"/>
    <w:rsid w:val="007B79A2"/>
    <w:rsid w:val="007B7E97"/>
    <w:rsid w:val="007C0DEF"/>
    <w:rsid w:val="007C1422"/>
    <w:rsid w:val="007C346A"/>
    <w:rsid w:val="007C39F4"/>
    <w:rsid w:val="007C56F9"/>
    <w:rsid w:val="007C5D5A"/>
    <w:rsid w:val="007C607F"/>
    <w:rsid w:val="007C79DD"/>
    <w:rsid w:val="007D1A97"/>
    <w:rsid w:val="007D2CD6"/>
    <w:rsid w:val="007D3063"/>
    <w:rsid w:val="007D3CEB"/>
    <w:rsid w:val="007D431A"/>
    <w:rsid w:val="007D5B8A"/>
    <w:rsid w:val="007D640C"/>
    <w:rsid w:val="007D698B"/>
    <w:rsid w:val="007E18EF"/>
    <w:rsid w:val="007E2582"/>
    <w:rsid w:val="007E29C3"/>
    <w:rsid w:val="007E3591"/>
    <w:rsid w:val="007E3611"/>
    <w:rsid w:val="007E3E50"/>
    <w:rsid w:val="007E5E10"/>
    <w:rsid w:val="007E7683"/>
    <w:rsid w:val="007F2EDA"/>
    <w:rsid w:val="007F49FA"/>
    <w:rsid w:val="007F54C4"/>
    <w:rsid w:val="007F6E9A"/>
    <w:rsid w:val="007F790F"/>
    <w:rsid w:val="008034DC"/>
    <w:rsid w:val="008034E5"/>
    <w:rsid w:val="00803B58"/>
    <w:rsid w:val="008044D4"/>
    <w:rsid w:val="00805FDC"/>
    <w:rsid w:val="0080679C"/>
    <w:rsid w:val="00807F21"/>
    <w:rsid w:val="00810AB4"/>
    <w:rsid w:val="008114D7"/>
    <w:rsid w:val="00817B56"/>
    <w:rsid w:val="00821A88"/>
    <w:rsid w:val="0082495D"/>
    <w:rsid w:val="00824B3C"/>
    <w:rsid w:val="00826B0F"/>
    <w:rsid w:val="00831AC3"/>
    <w:rsid w:val="00836B5C"/>
    <w:rsid w:val="00837590"/>
    <w:rsid w:val="008377EB"/>
    <w:rsid w:val="008403B2"/>
    <w:rsid w:val="008408FF"/>
    <w:rsid w:val="008453FA"/>
    <w:rsid w:val="00845464"/>
    <w:rsid w:val="00846141"/>
    <w:rsid w:val="00850439"/>
    <w:rsid w:val="00851F3F"/>
    <w:rsid w:val="00855570"/>
    <w:rsid w:val="00856EDC"/>
    <w:rsid w:val="00861480"/>
    <w:rsid w:val="008623B5"/>
    <w:rsid w:val="00866E6F"/>
    <w:rsid w:val="00870434"/>
    <w:rsid w:val="00870ABA"/>
    <w:rsid w:val="008710E1"/>
    <w:rsid w:val="008716E5"/>
    <w:rsid w:val="00871732"/>
    <w:rsid w:val="0087205E"/>
    <w:rsid w:val="00875D00"/>
    <w:rsid w:val="008802ED"/>
    <w:rsid w:val="00880357"/>
    <w:rsid w:val="00881CA9"/>
    <w:rsid w:val="00882F15"/>
    <w:rsid w:val="00883628"/>
    <w:rsid w:val="00885544"/>
    <w:rsid w:val="0088634E"/>
    <w:rsid w:val="00886DCE"/>
    <w:rsid w:val="00887597"/>
    <w:rsid w:val="00890DF6"/>
    <w:rsid w:val="00893AB8"/>
    <w:rsid w:val="00894DFC"/>
    <w:rsid w:val="00897EB4"/>
    <w:rsid w:val="008A04C8"/>
    <w:rsid w:val="008A16E5"/>
    <w:rsid w:val="008A1F2B"/>
    <w:rsid w:val="008A458F"/>
    <w:rsid w:val="008A5B0E"/>
    <w:rsid w:val="008A6913"/>
    <w:rsid w:val="008A69F6"/>
    <w:rsid w:val="008A6DA0"/>
    <w:rsid w:val="008B07C2"/>
    <w:rsid w:val="008B1E2F"/>
    <w:rsid w:val="008B4E79"/>
    <w:rsid w:val="008B70F3"/>
    <w:rsid w:val="008B71C4"/>
    <w:rsid w:val="008B76DF"/>
    <w:rsid w:val="008C10F4"/>
    <w:rsid w:val="008C14B4"/>
    <w:rsid w:val="008C2465"/>
    <w:rsid w:val="008C2C2F"/>
    <w:rsid w:val="008C63FD"/>
    <w:rsid w:val="008C65F7"/>
    <w:rsid w:val="008D0865"/>
    <w:rsid w:val="008D2B3B"/>
    <w:rsid w:val="008D34E1"/>
    <w:rsid w:val="008D3816"/>
    <w:rsid w:val="008D3CAE"/>
    <w:rsid w:val="008D5CD4"/>
    <w:rsid w:val="008D642E"/>
    <w:rsid w:val="008E2F22"/>
    <w:rsid w:val="008E4767"/>
    <w:rsid w:val="008E5CEF"/>
    <w:rsid w:val="008E6BD2"/>
    <w:rsid w:val="008E71BB"/>
    <w:rsid w:val="008E7A8C"/>
    <w:rsid w:val="008F0833"/>
    <w:rsid w:val="008F206E"/>
    <w:rsid w:val="008F264F"/>
    <w:rsid w:val="008F2663"/>
    <w:rsid w:val="008F4395"/>
    <w:rsid w:val="008F752A"/>
    <w:rsid w:val="00902B30"/>
    <w:rsid w:val="00903285"/>
    <w:rsid w:val="00904936"/>
    <w:rsid w:val="00906E71"/>
    <w:rsid w:val="00906F40"/>
    <w:rsid w:val="0090701A"/>
    <w:rsid w:val="0090731E"/>
    <w:rsid w:val="00911A62"/>
    <w:rsid w:val="0091296D"/>
    <w:rsid w:val="00912CE5"/>
    <w:rsid w:val="00913445"/>
    <w:rsid w:val="00914047"/>
    <w:rsid w:val="00915A5C"/>
    <w:rsid w:val="00915B1C"/>
    <w:rsid w:val="009174F3"/>
    <w:rsid w:val="0091797D"/>
    <w:rsid w:val="00923CBA"/>
    <w:rsid w:val="009241E0"/>
    <w:rsid w:val="00924369"/>
    <w:rsid w:val="00926703"/>
    <w:rsid w:val="00927691"/>
    <w:rsid w:val="00927A5F"/>
    <w:rsid w:val="00935B63"/>
    <w:rsid w:val="00937882"/>
    <w:rsid w:val="0094078F"/>
    <w:rsid w:val="00940FA3"/>
    <w:rsid w:val="00941FB0"/>
    <w:rsid w:val="009426D4"/>
    <w:rsid w:val="00942A8D"/>
    <w:rsid w:val="00945F21"/>
    <w:rsid w:val="00947725"/>
    <w:rsid w:val="00947F25"/>
    <w:rsid w:val="00950159"/>
    <w:rsid w:val="00950BDD"/>
    <w:rsid w:val="0095490B"/>
    <w:rsid w:val="00956140"/>
    <w:rsid w:val="00960A33"/>
    <w:rsid w:val="00960C5D"/>
    <w:rsid w:val="0096148B"/>
    <w:rsid w:val="0096360B"/>
    <w:rsid w:val="00964085"/>
    <w:rsid w:val="00965167"/>
    <w:rsid w:val="0096615A"/>
    <w:rsid w:val="009669D7"/>
    <w:rsid w:val="00971914"/>
    <w:rsid w:val="00974363"/>
    <w:rsid w:val="00975A93"/>
    <w:rsid w:val="00981898"/>
    <w:rsid w:val="00982D90"/>
    <w:rsid w:val="009848FB"/>
    <w:rsid w:val="00984C9A"/>
    <w:rsid w:val="00985EB7"/>
    <w:rsid w:val="00986468"/>
    <w:rsid w:val="00986DD3"/>
    <w:rsid w:val="0099054A"/>
    <w:rsid w:val="0099100B"/>
    <w:rsid w:val="00991586"/>
    <w:rsid w:val="0099577C"/>
    <w:rsid w:val="009A0656"/>
    <w:rsid w:val="009A3010"/>
    <w:rsid w:val="009A5574"/>
    <w:rsid w:val="009A736D"/>
    <w:rsid w:val="009A74CC"/>
    <w:rsid w:val="009B1DC6"/>
    <w:rsid w:val="009B2601"/>
    <w:rsid w:val="009B2B76"/>
    <w:rsid w:val="009B3F26"/>
    <w:rsid w:val="009B4E9E"/>
    <w:rsid w:val="009B55BF"/>
    <w:rsid w:val="009B614B"/>
    <w:rsid w:val="009C07DA"/>
    <w:rsid w:val="009C1690"/>
    <w:rsid w:val="009C1D02"/>
    <w:rsid w:val="009C54EB"/>
    <w:rsid w:val="009C6106"/>
    <w:rsid w:val="009C6881"/>
    <w:rsid w:val="009C7759"/>
    <w:rsid w:val="009D043D"/>
    <w:rsid w:val="009D07C8"/>
    <w:rsid w:val="009D3C69"/>
    <w:rsid w:val="009D457F"/>
    <w:rsid w:val="009D59E4"/>
    <w:rsid w:val="009D6C71"/>
    <w:rsid w:val="009E0631"/>
    <w:rsid w:val="009E123D"/>
    <w:rsid w:val="009E15AB"/>
    <w:rsid w:val="009E163D"/>
    <w:rsid w:val="009E16D0"/>
    <w:rsid w:val="009E276E"/>
    <w:rsid w:val="009E38FD"/>
    <w:rsid w:val="009E5C7D"/>
    <w:rsid w:val="009F0E3B"/>
    <w:rsid w:val="009F13D6"/>
    <w:rsid w:val="009F2306"/>
    <w:rsid w:val="009F2DA7"/>
    <w:rsid w:val="009F4C6B"/>
    <w:rsid w:val="009F7137"/>
    <w:rsid w:val="009F716E"/>
    <w:rsid w:val="009F78A8"/>
    <w:rsid w:val="00A013E9"/>
    <w:rsid w:val="00A023D5"/>
    <w:rsid w:val="00A02AD6"/>
    <w:rsid w:val="00A02AE9"/>
    <w:rsid w:val="00A05D1E"/>
    <w:rsid w:val="00A07096"/>
    <w:rsid w:val="00A07318"/>
    <w:rsid w:val="00A11370"/>
    <w:rsid w:val="00A11E60"/>
    <w:rsid w:val="00A12C03"/>
    <w:rsid w:val="00A15724"/>
    <w:rsid w:val="00A224CE"/>
    <w:rsid w:val="00A22522"/>
    <w:rsid w:val="00A24AFD"/>
    <w:rsid w:val="00A24F5C"/>
    <w:rsid w:val="00A25F37"/>
    <w:rsid w:val="00A3179E"/>
    <w:rsid w:val="00A32F96"/>
    <w:rsid w:val="00A3642F"/>
    <w:rsid w:val="00A3753E"/>
    <w:rsid w:val="00A37640"/>
    <w:rsid w:val="00A40871"/>
    <w:rsid w:val="00A40BD9"/>
    <w:rsid w:val="00A412AB"/>
    <w:rsid w:val="00A41324"/>
    <w:rsid w:val="00A4193E"/>
    <w:rsid w:val="00A440E0"/>
    <w:rsid w:val="00A442EF"/>
    <w:rsid w:val="00A44389"/>
    <w:rsid w:val="00A45AE1"/>
    <w:rsid w:val="00A45D21"/>
    <w:rsid w:val="00A469B4"/>
    <w:rsid w:val="00A500DE"/>
    <w:rsid w:val="00A50C04"/>
    <w:rsid w:val="00A50C43"/>
    <w:rsid w:val="00A51D1A"/>
    <w:rsid w:val="00A54058"/>
    <w:rsid w:val="00A5418D"/>
    <w:rsid w:val="00A543E0"/>
    <w:rsid w:val="00A5474E"/>
    <w:rsid w:val="00A56A02"/>
    <w:rsid w:val="00A60672"/>
    <w:rsid w:val="00A61521"/>
    <w:rsid w:val="00A615B5"/>
    <w:rsid w:val="00A64234"/>
    <w:rsid w:val="00A6526D"/>
    <w:rsid w:val="00A65770"/>
    <w:rsid w:val="00A663B3"/>
    <w:rsid w:val="00A6657B"/>
    <w:rsid w:val="00A70ADF"/>
    <w:rsid w:val="00A71466"/>
    <w:rsid w:val="00A74B5E"/>
    <w:rsid w:val="00A753EC"/>
    <w:rsid w:val="00A75DA1"/>
    <w:rsid w:val="00A7660D"/>
    <w:rsid w:val="00A7748C"/>
    <w:rsid w:val="00A77899"/>
    <w:rsid w:val="00A81BED"/>
    <w:rsid w:val="00A81EC4"/>
    <w:rsid w:val="00A82B3B"/>
    <w:rsid w:val="00A82C7D"/>
    <w:rsid w:val="00A85E17"/>
    <w:rsid w:val="00A900AB"/>
    <w:rsid w:val="00A967FD"/>
    <w:rsid w:val="00A971F3"/>
    <w:rsid w:val="00AA0FA2"/>
    <w:rsid w:val="00AA24D0"/>
    <w:rsid w:val="00AA2DE5"/>
    <w:rsid w:val="00AA3669"/>
    <w:rsid w:val="00AA5D25"/>
    <w:rsid w:val="00AB01EF"/>
    <w:rsid w:val="00AB156C"/>
    <w:rsid w:val="00AB199C"/>
    <w:rsid w:val="00AB492A"/>
    <w:rsid w:val="00AB6814"/>
    <w:rsid w:val="00AC04BA"/>
    <w:rsid w:val="00AC0E39"/>
    <w:rsid w:val="00AC2171"/>
    <w:rsid w:val="00AC493E"/>
    <w:rsid w:val="00AC49DA"/>
    <w:rsid w:val="00AC5773"/>
    <w:rsid w:val="00AC705A"/>
    <w:rsid w:val="00AC7549"/>
    <w:rsid w:val="00AD1385"/>
    <w:rsid w:val="00AD3082"/>
    <w:rsid w:val="00AD32B4"/>
    <w:rsid w:val="00AD3ED7"/>
    <w:rsid w:val="00AD4AD0"/>
    <w:rsid w:val="00AD5436"/>
    <w:rsid w:val="00AD60CD"/>
    <w:rsid w:val="00AD6C8C"/>
    <w:rsid w:val="00AD7A34"/>
    <w:rsid w:val="00AE0493"/>
    <w:rsid w:val="00AE072C"/>
    <w:rsid w:val="00AE091D"/>
    <w:rsid w:val="00AE3B60"/>
    <w:rsid w:val="00AE53A1"/>
    <w:rsid w:val="00AE6FEF"/>
    <w:rsid w:val="00AE7B1A"/>
    <w:rsid w:val="00AF0DEB"/>
    <w:rsid w:val="00AF2484"/>
    <w:rsid w:val="00AF3161"/>
    <w:rsid w:val="00AF3988"/>
    <w:rsid w:val="00AF63E7"/>
    <w:rsid w:val="00AF6E17"/>
    <w:rsid w:val="00B00509"/>
    <w:rsid w:val="00B0165D"/>
    <w:rsid w:val="00B01B60"/>
    <w:rsid w:val="00B02B54"/>
    <w:rsid w:val="00B031F3"/>
    <w:rsid w:val="00B03923"/>
    <w:rsid w:val="00B052A4"/>
    <w:rsid w:val="00B07038"/>
    <w:rsid w:val="00B076B3"/>
    <w:rsid w:val="00B1063D"/>
    <w:rsid w:val="00B119A2"/>
    <w:rsid w:val="00B125DE"/>
    <w:rsid w:val="00B13FDD"/>
    <w:rsid w:val="00B14BC3"/>
    <w:rsid w:val="00B15083"/>
    <w:rsid w:val="00B178F6"/>
    <w:rsid w:val="00B211F2"/>
    <w:rsid w:val="00B22EB2"/>
    <w:rsid w:val="00B2503E"/>
    <w:rsid w:val="00B27442"/>
    <w:rsid w:val="00B31167"/>
    <w:rsid w:val="00B329D8"/>
    <w:rsid w:val="00B32BB9"/>
    <w:rsid w:val="00B33AE1"/>
    <w:rsid w:val="00B34D2C"/>
    <w:rsid w:val="00B37C38"/>
    <w:rsid w:val="00B40C4F"/>
    <w:rsid w:val="00B4288C"/>
    <w:rsid w:val="00B43262"/>
    <w:rsid w:val="00B440AE"/>
    <w:rsid w:val="00B44100"/>
    <w:rsid w:val="00B44189"/>
    <w:rsid w:val="00B44523"/>
    <w:rsid w:val="00B44D6C"/>
    <w:rsid w:val="00B455FB"/>
    <w:rsid w:val="00B46CBA"/>
    <w:rsid w:val="00B46F94"/>
    <w:rsid w:val="00B50B5A"/>
    <w:rsid w:val="00B53E33"/>
    <w:rsid w:val="00B55A49"/>
    <w:rsid w:val="00B6003C"/>
    <w:rsid w:val="00B61F03"/>
    <w:rsid w:val="00B626E4"/>
    <w:rsid w:val="00B64BDB"/>
    <w:rsid w:val="00B67FFA"/>
    <w:rsid w:val="00B72F4A"/>
    <w:rsid w:val="00B73C5B"/>
    <w:rsid w:val="00B76679"/>
    <w:rsid w:val="00B76A47"/>
    <w:rsid w:val="00B7782F"/>
    <w:rsid w:val="00B83C27"/>
    <w:rsid w:val="00B84441"/>
    <w:rsid w:val="00B84BC3"/>
    <w:rsid w:val="00B84BDD"/>
    <w:rsid w:val="00B8546D"/>
    <w:rsid w:val="00B866B3"/>
    <w:rsid w:val="00B92812"/>
    <w:rsid w:val="00B92C88"/>
    <w:rsid w:val="00B936BB"/>
    <w:rsid w:val="00B95DDE"/>
    <w:rsid w:val="00BA0786"/>
    <w:rsid w:val="00BA0F55"/>
    <w:rsid w:val="00BA2AF8"/>
    <w:rsid w:val="00BA2F0C"/>
    <w:rsid w:val="00BA31D1"/>
    <w:rsid w:val="00BA46C4"/>
    <w:rsid w:val="00BA4BE6"/>
    <w:rsid w:val="00BA60C9"/>
    <w:rsid w:val="00BA7408"/>
    <w:rsid w:val="00BB0028"/>
    <w:rsid w:val="00BB45A1"/>
    <w:rsid w:val="00BB7069"/>
    <w:rsid w:val="00BB7686"/>
    <w:rsid w:val="00BC23F9"/>
    <w:rsid w:val="00BC3421"/>
    <w:rsid w:val="00BC391B"/>
    <w:rsid w:val="00BC6F49"/>
    <w:rsid w:val="00BC732C"/>
    <w:rsid w:val="00BC7D07"/>
    <w:rsid w:val="00BD6EE7"/>
    <w:rsid w:val="00BE0F4D"/>
    <w:rsid w:val="00BE2580"/>
    <w:rsid w:val="00BE266D"/>
    <w:rsid w:val="00BE3938"/>
    <w:rsid w:val="00BE4688"/>
    <w:rsid w:val="00BE4C11"/>
    <w:rsid w:val="00BE71C0"/>
    <w:rsid w:val="00BF18E0"/>
    <w:rsid w:val="00BF2B19"/>
    <w:rsid w:val="00BF610C"/>
    <w:rsid w:val="00BF7160"/>
    <w:rsid w:val="00C0060B"/>
    <w:rsid w:val="00C0277D"/>
    <w:rsid w:val="00C0438C"/>
    <w:rsid w:val="00C04B50"/>
    <w:rsid w:val="00C04CD8"/>
    <w:rsid w:val="00C053A1"/>
    <w:rsid w:val="00C0601F"/>
    <w:rsid w:val="00C06489"/>
    <w:rsid w:val="00C10898"/>
    <w:rsid w:val="00C13531"/>
    <w:rsid w:val="00C1521E"/>
    <w:rsid w:val="00C16198"/>
    <w:rsid w:val="00C17A39"/>
    <w:rsid w:val="00C200A7"/>
    <w:rsid w:val="00C2083D"/>
    <w:rsid w:val="00C24710"/>
    <w:rsid w:val="00C24A53"/>
    <w:rsid w:val="00C25BF7"/>
    <w:rsid w:val="00C271D9"/>
    <w:rsid w:val="00C34207"/>
    <w:rsid w:val="00C3444E"/>
    <w:rsid w:val="00C34A05"/>
    <w:rsid w:val="00C35BC9"/>
    <w:rsid w:val="00C36358"/>
    <w:rsid w:val="00C36EF2"/>
    <w:rsid w:val="00C371E8"/>
    <w:rsid w:val="00C37D20"/>
    <w:rsid w:val="00C4032F"/>
    <w:rsid w:val="00C41534"/>
    <w:rsid w:val="00C43BE6"/>
    <w:rsid w:val="00C44047"/>
    <w:rsid w:val="00C45155"/>
    <w:rsid w:val="00C46592"/>
    <w:rsid w:val="00C47D3D"/>
    <w:rsid w:val="00C52570"/>
    <w:rsid w:val="00C5498F"/>
    <w:rsid w:val="00C55235"/>
    <w:rsid w:val="00C55842"/>
    <w:rsid w:val="00C60F95"/>
    <w:rsid w:val="00C64CD0"/>
    <w:rsid w:val="00C6684F"/>
    <w:rsid w:val="00C66E71"/>
    <w:rsid w:val="00C675BA"/>
    <w:rsid w:val="00C70E70"/>
    <w:rsid w:val="00C7154B"/>
    <w:rsid w:val="00C739D8"/>
    <w:rsid w:val="00C7549F"/>
    <w:rsid w:val="00C75F8D"/>
    <w:rsid w:val="00C77380"/>
    <w:rsid w:val="00C825D4"/>
    <w:rsid w:val="00C846D7"/>
    <w:rsid w:val="00C86E62"/>
    <w:rsid w:val="00C909B6"/>
    <w:rsid w:val="00C926A5"/>
    <w:rsid w:val="00C97736"/>
    <w:rsid w:val="00CA2EC3"/>
    <w:rsid w:val="00CA345A"/>
    <w:rsid w:val="00CA73C6"/>
    <w:rsid w:val="00CA745B"/>
    <w:rsid w:val="00CB10B7"/>
    <w:rsid w:val="00CB1E82"/>
    <w:rsid w:val="00CB374E"/>
    <w:rsid w:val="00CB4BA8"/>
    <w:rsid w:val="00CB52D7"/>
    <w:rsid w:val="00CB6DDA"/>
    <w:rsid w:val="00CC49A9"/>
    <w:rsid w:val="00CC4A0A"/>
    <w:rsid w:val="00CC6732"/>
    <w:rsid w:val="00CD0E90"/>
    <w:rsid w:val="00CD1265"/>
    <w:rsid w:val="00CD45B7"/>
    <w:rsid w:val="00CD7F1B"/>
    <w:rsid w:val="00CE3356"/>
    <w:rsid w:val="00CE3C96"/>
    <w:rsid w:val="00CE3F16"/>
    <w:rsid w:val="00CE4BB2"/>
    <w:rsid w:val="00CE51A8"/>
    <w:rsid w:val="00CE61A0"/>
    <w:rsid w:val="00CE6D50"/>
    <w:rsid w:val="00CF0DB6"/>
    <w:rsid w:val="00CF2085"/>
    <w:rsid w:val="00CF2AE2"/>
    <w:rsid w:val="00CF2C17"/>
    <w:rsid w:val="00CF369B"/>
    <w:rsid w:val="00CF4C64"/>
    <w:rsid w:val="00CF6C39"/>
    <w:rsid w:val="00D00E28"/>
    <w:rsid w:val="00D0269E"/>
    <w:rsid w:val="00D0541C"/>
    <w:rsid w:val="00D05675"/>
    <w:rsid w:val="00D05D6C"/>
    <w:rsid w:val="00D10982"/>
    <w:rsid w:val="00D12641"/>
    <w:rsid w:val="00D13675"/>
    <w:rsid w:val="00D15810"/>
    <w:rsid w:val="00D16D4E"/>
    <w:rsid w:val="00D16FE3"/>
    <w:rsid w:val="00D255EC"/>
    <w:rsid w:val="00D2589D"/>
    <w:rsid w:val="00D25F93"/>
    <w:rsid w:val="00D27A69"/>
    <w:rsid w:val="00D27F41"/>
    <w:rsid w:val="00D30009"/>
    <w:rsid w:val="00D331AE"/>
    <w:rsid w:val="00D34464"/>
    <w:rsid w:val="00D358AD"/>
    <w:rsid w:val="00D36441"/>
    <w:rsid w:val="00D37665"/>
    <w:rsid w:val="00D4064E"/>
    <w:rsid w:val="00D42312"/>
    <w:rsid w:val="00D4243F"/>
    <w:rsid w:val="00D4413C"/>
    <w:rsid w:val="00D44E9B"/>
    <w:rsid w:val="00D474D2"/>
    <w:rsid w:val="00D47AEB"/>
    <w:rsid w:val="00D50C91"/>
    <w:rsid w:val="00D50CED"/>
    <w:rsid w:val="00D50DB9"/>
    <w:rsid w:val="00D51302"/>
    <w:rsid w:val="00D51BAE"/>
    <w:rsid w:val="00D52961"/>
    <w:rsid w:val="00D52C43"/>
    <w:rsid w:val="00D532B5"/>
    <w:rsid w:val="00D54CF6"/>
    <w:rsid w:val="00D55550"/>
    <w:rsid w:val="00D55F44"/>
    <w:rsid w:val="00D565C7"/>
    <w:rsid w:val="00D57154"/>
    <w:rsid w:val="00D623A8"/>
    <w:rsid w:val="00D6275D"/>
    <w:rsid w:val="00D634DD"/>
    <w:rsid w:val="00D6507F"/>
    <w:rsid w:val="00D66DF0"/>
    <w:rsid w:val="00D70C97"/>
    <w:rsid w:val="00D71E31"/>
    <w:rsid w:val="00D730BC"/>
    <w:rsid w:val="00D73912"/>
    <w:rsid w:val="00D744DD"/>
    <w:rsid w:val="00D744ED"/>
    <w:rsid w:val="00D7500D"/>
    <w:rsid w:val="00D77A1F"/>
    <w:rsid w:val="00D82D1F"/>
    <w:rsid w:val="00D84CCD"/>
    <w:rsid w:val="00D85226"/>
    <w:rsid w:val="00D85ACC"/>
    <w:rsid w:val="00D87B94"/>
    <w:rsid w:val="00D92D49"/>
    <w:rsid w:val="00D92EC1"/>
    <w:rsid w:val="00D93013"/>
    <w:rsid w:val="00D94BAC"/>
    <w:rsid w:val="00D95149"/>
    <w:rsid w:val="00D953C4"/>
    <w:rsid w:val="00D96DEA"/>
    <w:rsid w:val="00D97A2A"/>
    <w:rsid w:val="00DA03BB"/>
    <w:rsid w:val="00DA4E41"/>
    <w:rsid w:val="00DB117A"/>
    <w:rsid w:val="00DB3186"/>
    <w:rsid w:val="00DB4FAD"/>
    <w:rsid w:val="00DB5173"/>
    <w:rsid w:val="00DB626B"/>
    <w:rsid w:val="00DB7873"/>
    <w:rsid w:val="00DC187B"/>
    <w:rsid w:val="00DC2A6B"/>
    <w:rsid w:val="00DC2BB1"/>
    <w:rsid w:val="00DC2D29"/>
    <w:rsid w:val="00DC332C"/>
    <w:rsid w:val="00DC54B4"/>
    <w:rsid w:val="00DD1A43"/>
    <w:rsid w:val="00DD28A8"/>
    <w:rsid w:val="00DD73C2"/>
    <w:rsid w:val="00DD753E"/>
    <w:rsid w:val="00DD7623"/>
    <w:rsid w:val="00DD7F31"/>
    <w:rsid w:val="00DE2F28"/>
    <w:rsid w:val="00DE319B"/>
    <w:rsid w:val="00DE3981"/>
    <w:rsid w:val="00DE53F6"/>
    <w:rsid w:val="00DF34FE"/>
    <w:rsid w:val="00DF56AA"/>
    <w:rsid w:val="00DF56AF"/>
    <w:rsid w:val="00DF788C"/>
    <w:rsid w:val="00DF78E7"/>
    <w:rsid w:val="00E01E44"/>
    <w:rsid w:val="00E02FAA"/>
    <w:rsid w:val="00E110E0"/>
    <w:rsid w:val="00E119F0"/>
    <w:rsid w:val="00E13714"/>
    <w:rsid w:val="00E15371"/>
    <w:rsid w:val="00E15BCC"/>
    <w:rsid w:val="00E203B8"/>
    <w:rsid w:val="00E22432"/>
    <w:rsid w:val="00E228DB"/>
    <w:rsid w:val="00E232A3"/>
    <w:rsid w:val="00E24104"/>
    <w:rsid w:val="00E24228"/>
    <w:rsid w:val="00E27D9F"/>
    <w:rsid w:val="00E302D0"/>
    <w:rsid w:val="00E30F13"/>
    <w:rsid w:val="00E31A32"/>
    <w:rsid w:val="00E35707"/>
    <w:rsid w:val="00E36AA1"/>
    <w:rsid w:val="00E37F0A"/>
    <w:rsid w:val="00E401BE"/>
    <w:rsid w:val="00E4040D"/>
    <w:rsid w:val="00E41C68"/>
    <w:rsid w:val="00E41CF6"/>
    <w:rsid w:val="00E41ECB"/>
    <w:rsid w:val="00E52032"/>
    <w:rsid w:val="00E54FDB"/>
    <w:rsid w:val="00E5617D"/>
    <w:rsid w:val="00E563D7"/>
    <w:rsid w:val="00E60F5E"/>
    <w:rsid w:val="00E65296"/>
    <w:rsid w:val="00E663F4"/>
    <w:rsid w:val="00E666F2"/>
    <w:rsid w:val="00E66DD4"/>
    <w:rsid w:val="00E67D55"/>
    <w:rsid w:val="00E71FD1"/>
    <w:rsid w:val="00E748CC"/>
    <w:rsid w:val="00E75415"/>
    <w:rsid w:val="00E768A5"/>
    <w:rsid w:val="00E7728E"/>
    <w:rsid w:val="00E775B1"/>
    <w:rsid w:val="00E8152A"/>
    <w:rsid w:val="00E8619B"/>
    <w:rsid w:val="00E92219"/>
    <w:rsid w:val="00E93629"/>
    <w:rsid w:val="00E93867"/>
    <w:rsid w:val="00E93B5C"/>
    <w:rsid w:val="00E94B06"/>
    <w:rsid w:val="00E94CEC"/>
    <w:rsid w:val="00E9710B"/>
    <w:rsid w:val="00EA04EF"/>
    <w:rsid w:val="00EA0B3D"/>
    <w:rsid w:val="00EA2191"/>
    <w:rsid w:val="00EA2B1F"/>
    <w:rsid w:val="00EA4B78"/>
    <w:rsid w:val="00EA5BF6"/>
    <w:rsid w:val="00EA60F7"/>
    <w:rsid w:val="00EA6959"/>
    <w:rsid w:val="00EA6F19"/>
    <w:rsid w:val="00EA71BE"/>
    <w:rsid w:val="00EB1998"/>
    <w:rsid w:val="00EB231E"/>
    <w:rsid w:val="00EB2749"/>
    <w:rsid w:val="00EB5414"/>
    <w:rsid w:val="00EB578C"/>
    <w:rsid w:val="00EB7090"/>
    <w:rsid w:val="00EC1BBE"/>
    <w:rsid w:val="00EC3A8B"/>
    <w:rsid w:val="00EC4B47"/>
    <w:rsid w:val="00EC50C7"/>
    <w:rsid w:val="00EC59C2"/>
    <w:rsid w:val="00EC5CD7"/>
    <w:rsid w:val="00ED0ECB"/>
    <w:rsid w:val="00ED20EE"/>
    <w:rsid w:val="00EE17D1"/>
    <w:rsid w:val="00EE2A99"/>
    <w:rsid w:val="00EE36A2"/>
    <w:rsid w:val="00EE3BB3"/>
    <w:rsid w:val="00EE5888"/>
    <w:rsid w:val="00EE5FB3"/>
    <w:rsid w:val="00EE6300"/>
    <w:rsid w:val="00EE7F79"/>
    <w:rsid w:val="00EF0E56"/>
    <w:rsid w:val="00EF33CC"/>
    <w:rsid w:val="00EF5D5C"/>
    <w:rsid w:val="00EF6865"/>
    <w:rsid w:val="00EF715A"/>
    <w:rsid w:val="00F040F8"/>
    <w:rsid w:val="00F04163"/>
    <w:rsid w:val="00F04F80"/>
    <w:rsid w:val="00F05DE7"/>
    <w:rsid w:val="00F06912"/>
    <w:rsid w:val="00F06E14"/>
    <w:rsid w:val="00F10023"/>
    <w:rsid w:val="00F107EE"/>
    <w:rsid w:val="00F1268F"/>
    <w:rsid w:val="00F138D5"/>
    <w:rsid w:val="00F1703F"/>
    <w:rsid w:val="00F179D4"/>
    <w:rsid w:val="00F20F10"/>
    <w:rsid w:val="00F22303"/>
    <w:rsid w:val="00F31601"/>
    <w:rsid w:val="00F317C1"/>
    <w:rsid w:val="00F33109"/>
    <w:rsid w:val="00F33C56"/>
    <w:rsid w:val="00F347C7"/>
    <w:rsid w:val="00F34848"/>
    <w:rsid w:val="00F35A11"/>
    <w:rsid w:val="00F35B49"/>
    <w:rsid w:val="00F42D46"/>
    <w:rsid w:val="00F43C7A"/>
    <w:rsid w:val="00F4406A"/>
    <w:rsid w:val="00F4447A"/>
    <w:rsid w:val="00F4496C"/>
    <w:rsid w:val="00F44F3A"/>
    <w:rsid w:val="00F4504A"/>
    <w:rsid w:val="00F506B4"/>
    <w:rsid w:val="00F51F10"/>
    <w:rsid w:val="00F529A5"/>
    <w:rsid w:val="00F53726"/>
    <w:rsid w:val="00F552D1"/>
    <w:rsid w:val="00F60F00"/>
    <w:rsid w:val="00F61312"/>
    <w:rsid w:val="00F614C0"/>
    <w:rsid w:val="00F62533"/>
    <w:rsid w:val="00F63858"/>
    <w:rsid w:val="00F64D94"/>
    <w:rsid w:val="00F65002"/>
    <w:rsid w:val="00F67EDE"/>
    <w:rsid w:val="00F7110E"/>
    <w:rsid w:val="00F71893"/>
    <w:rsid w:val="00F71D58"/>
    <w:rsid w:val="00F72B75"/>
    <w:rsid w:val="00F74379"/>
    <w:rsid w:val="00F76CE5"/>
    <w:rsid w:val="00F77B1E"/>
    <w:rsid w:val="00F80122"/>
    <w:rsid w:val="00F83848"/>
    <w:rsid w:val="00F85F71"/>
    <w:rsid w:val="00F872CF"/>
    <w:rsid w:val="00F90571"/>
    <w:rsid w:val="00F90E5D"/>
    <w:rsid w:val="00F975E9"/>
    <w:rsid w:val="00F97D80"/>
    <w:rsid w:val="00FA1B7D"/>
    <w:rsid w:val="00FA687B"/>
    <w:rsid w:val="00FA7548"/>
    <w:rsid w:val="00FB097D"/>
    <w:rsid w:val="00FB0AB9"/>
    <w:rsid w:val="00FB2240"/>
    <w:rsid w:val="00FC02E3"/>
    <w:rsid w:val="00FC07B9"/>
    <w:rsid w:val="00FC0E64"/>
    <w:rsid w:val="00FC17EB"/>
    <w:rsid w:val="00FC1996"/>
    <w:rsid w:val="00FC4E21"/>
    <w:rsid w:val="00FC571C"/>
    <w:rsid w:val="00FC5F6D"/>
    <w:rsid w:val="00FD0107"/>
    <w:rsid w:val="00FD0A9C"/>
    <w:rsid w:val="00FD1EAB"/>
    <w:rsid w:val="00FD2C2F"/>
    <w:rsid w:val="00FD2F9D"/>
    <w:rsid w:val="00FD3B31"/>
    <w:rsid w:val="00FD42F0"/>
    <w:rsid w:val="00FD7064"/>
    <w:rsid w:val="00FE1388"/>
    <w:rsid w:val="00FE1823"/>
    <w:rsid w:val="00FE1F65"/>
    <w:rsid w:val="00FE487A"/>
    <w:rsid w:val="00FE762A"/>
    <w:rsid w:val="00FF0569"/>
    <w:rsid w:val="00FF206E"/>
    <w:rsid w:val="00FF2866"/>
    <w:rsid w:val="00FF3C69"/>
    <w:rsid w:val="00FF6E0A"/>
    <w:rsid w:val="00FF7E24"/>
    <w:rsid w:val="00FF7E27"/>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red,#4d4d4f"/>
    </o:shapedefaults>
    <o:shapelayout v:ext="edit">
      <o:idmap v:ext="edit" data="1"/>
    </o:shapelayout>
  </w:shapeDefaults>
  <w:decimalSymbol w:val="."/>
  <w:listSeparator w:val=","/>
  <w14:docId w14:val="2D47CE73"/>
  <w15:docId w15:val="{60123B97-C4B3-4AA7-900B-2A2221E6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0107"/>
    <w:pPr>
      <w:spacing w:after="240" w:line="240" w:lineRule="atLeast"/>
    </w:pPr>
    <w:rPr>
      <w:rFonts w:ascii="Arial" w:hAnsi="Arial"/>
      <w:sz w:val="20"/>
    </w:rPr>
  </w:style>
  <w:style w:type="paragraph" w:styleId="Heading1">
    <w:name w:val="heading 1"/>
    <w:basedOn w:val="Normal"/>
    <w:next w:val="Normal"/>
    <w:qFormat/>
    <w:rsid w:val="00C55235"/>
    <w:pPr>
      <w:keepNext/>
      <w:pageBreakBefore/>
      <w:widowControl w:val="0"/>
      <w:spacing w:after="360" w:line="550" w:lineRule="exact"/>
      <w:outlineLvl w:val="0"/>
    </w:pPr>
    <w:rPr>
      <w:rFonts w:cs="Arial"/>
      <w:bCs/>
      <w:color w:val="323232"/>
      <w:kern w:val="32"/>
      <w:sz w:val="53"/>
      <w:szCs w:val="32"/>
    </w:rPr>
  </w:style>
  <w:style w:type="paragraph" w:styleId="Heading2">
    <w:name w:val="heading 2"/>
    <w:basedOn w:val="Normal"/>
    <w:next w:val="Normal"/>
    <w:qFormat/>
    <w:rsid w:val="00C55235"/>
    <w:pPr>
      <w:keepNext/>
      <w:spacing w:before="320" w:after="60"/>
      <w:outlineLvl w:val="1"/>
    </w:pPr>
    <w:rPr>
      <w:rFonts w:cs="Arial"/>
      <w:b/>
      <w:bCs/>
      <w:iCs/>
      <w:sz w:val="28"/>
      <w:szCs w:val="28"/>
    </w:rPr>
  </w:style>
  <w:style w:type="paragraph" w:styleId="Heading3">
    <w:name w:val="heading 3"/>
    <w:basedOn w:val="Normal"/>
    <w:next w:val="Normal"/>
    <w:qFormat/>
    <w:rsid w:val="00C55235"/>
    <w:pPr>
      <w:keepNext/>
      <w:spacing w:before="60" w:after="60"/>
      <w:outlineLvl w:val="2"/>
    </w:pPr>
    <w:rPr>
      <w:rFonts w:cs="Arial"/>
      <w:b/>
      <w:bCs/>
      <w:szCs w:val="26"/>
    </w:rPr>
  </w:style>
  <w:style w:type="paragraph" w:styleId="Heading4">
    <w:name w:val="heading 4"/>
    <w:basedOn w:val="Normal"/>
    <w:next w:val="Normal"/>
    <w:semiHidden/>
    <w:qFormat/>
    <w:rsid w:val="00AD5436"/>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semiHidden/>
    <w:qFormat/>
    <w:rsid w:val="00AD5436"/>
    <w:pPr>
      <w:numPr>
        <w:ilvl w:val="4"/>
        <w:numId w:val="5"/>
      </w:numPr>
      <w:spacing w:before="240" w:after="60"/>
      <w:outlineLvl w:val="4"/>
    </w:pPr>
    <w:rPr>
      <w:b/>
      <w:bCs/>
      <w:i/>
      <w:iCs/>
      <w:sz w:val="26"/>
      <w:szCs w:val="26"/>
    </w:rPr>
  </w:style>
  <w:style w:type="paragraph" w:styleId="Heading6">
    <w:name w:val="heading 6"/>
    <w:basedOn w:val="Normal"/>
    <w:next w:val="Normal"/>
    <w:semiHidden/>
    <w:qFormat/>
    <w:rsid w:val="00AD5436"/>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semiHidden/>
    <w:qFormat/>
    <w:rsid w:val="00AD5436"/>
    <w:pPr>
      <w:numPr>
        <w:ilvl w:val="6"/>
        <w:numId w:val="5"/>
      </w:numPr>
      <w:spacing w:before="240" w:after="60"/>
      <w:outlineLvl w:val="6"/>
    </w:pPr>
    <w:rPr>
      <w:rFonts w:ascii="Times New Roman" w:hAnsi="Times New Roman"/>
      <w:sz w:val="24"/>
    </w:rPr>
  </w:style>
  <w:style w:type="paragraph" w:styleId="Heading8">
    <w:name w:val="heading 8"/>
    <w:basedOn w:val="Normal"/>
    <w:next w:val="Normal"/>
    <w:semiHidden/>
    <w:qFormat/>
    <w:rsid w:val="00AD5436"/>
    <w:pPr>
      <w:numPr>
        <w:ilvl w:val="7"/>
        <w:numId w:val="5"/>
      </w:numPr>
      <w:spacing w:before="240" w:after="60"/>
      <w:outlineLvl w:val="7"/>
    </w:pPr>
    <w:rPr>
      <w:rFonts w:ascii="Times New Roman" w:hAnsi="Times New Roman"/>
      <w:i/>
      <w:iCs/>
      <w:sz w:val="24"/>
    </w:rPr>
  </w:style>
  <w:style w:type="paragraph" w:styleId="Heading9">
    <w:name w:val="heading 9"/>
    <w:basedOn w:val="Normal"/>
    <w:next w:val="Normal"/>
    <w:semiHidden/>
    <w:qFormat/>
    <w:rsid w:val="00AD5436"/>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0791C"/>
    <w:pPr>
      <w:tabs>
        <w:tab w:val="center" w:pos="4153"/>
        <w:tab w:val="right" w:pos="8306"/>
      </w:tabs>
      <w:spacing w:line="240" w:lineRule="auto"/>
    </w:pPr>
    <w:rPr>
      <w:sz w:val="16"/>
    </w:rPr>
  </w:style>
  <w:style w:type="paragraph" w:styleId="Footer">
    <w:name w:val="footer"/>
    <w:basedOn w:val="Normal"/>
    <w:link w:val="FooterChar"/>
    <w:qFormat/>
    <w:rsid w:val="0094078F"/>
    <w:pPr>
      <w:tabs>
        <w:tab w:val="right" w:pos="113"/>
      </w:tabs>
      <w:spacing w:line="240" w:lineRule="auto"/>
    </w:pPr>
    <w:rPr>
      <w:color w:val="323232"/>
      <w:sz w:val="16"/>
    </w:rPr>
  </w:style>
  <w:style w:type="character" w:customStyle="1" w:styleId="FooterChar">
    <w:name w:val="Footer Char"/>
    <w:basedOn w:val="DefaultParagraphFont"/>
    <w:link w:val="Footer"/>
    <w:rsid w:val="0094078F"/>
    <w:rPr>
      <w:rFonts w:ascii="Arial" w:hAnsi="Arial"/>
      <w:color w:val="323232"/>
      <w:sz w:val="16"/>
    </w:rPr>
  </w:style>
  <w:style w:type="paragraph" w:customStyle="1" w:styleId="ACMAReportTitle">
    <w:name w:val="ACMA_ReportTitle"/>
    <w:basedOn w:val="Normal"/>
    <w:qFormat/>
    <w:rsid w:val="00A51D1A"/>
    <w:pPr>
      <w:spacing w:after="0" w:line="560" w:lineRule="exact"/>
    </w:pPr>
    <w:rPr>
      <w:b/>
      <w:spacing w:val="-28"/>
      <w:sz w:val="53"/>
    </w:rPr>
  </w:style>
  <w:style w:type="paragraph" w:customStyle="1" w:styleId="ACMAReportSubTitle">
    <w:name w:val="ACMA_ReportSubTitle"/>
    <w:basedOn w:val="Normal"/>
    <w:qFormat/>
    <w:rsid w:val="00950159"/>
    <w:pPr>
      <w:spacing w:after="200" w:line="560" w:lineRule="exact"/>
    </w:pPr>
    <w:rPr>
      <w:color w:val="323232"/>
      <w:spacing w:val="-28"/>
      <w:sz w:val="53"/>
    </w:rPr>
  </w:style>
  <w:style w:type="table" w:styleId="TableGrid">
    <w:name w:val="Table Grid"/>
    <w:basedOn w:val="TableNormal"/>
    <w:uiPriority w:val="39"/>
    <w:rsid w:val="0022681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AReportDate">
    <w:name w:val="ACMA_ReportDate"/>
    <w:basedOn w:val="ACMAReportSubTitle"/>
    <w:qFormat/>
    <w:rsid w:val="00950159"/>
    <w:pPr>
      <w:spacing w:after="1200" w:line="240" w:lineRule="auto"/>
    </w:pPr>
    <w:rPr>
      <w:caps/>
      <w:spacing w:val="-10"/>
      <w:sz w:val="20"/>
    </w:rPr>
  </w:style>
  <w:style w:type="paragraph" w:customStyle="1" w:styleId="TableHeading">
    <w:name w:val="Table Heading"/>
    <w:basedOn w:val="Normal"/>
    <w:qFormat/>
    <w:rsid w:val="00774FDB"/>
    <w:pPr>
      <w:spacing w:after="0"/>
    </w:pPr>
    <w:rPr>
      <w:b/>
    </w:rPr>
  </w:style>
  <w:style w:type="paragraph" w:customStyle="1" w:styleId="PageNumber">
    <w:name w:val="PageNumber"/>
    <w:basedOn w:val="Normal"/>
    <w:semiHidden/>
    <w:rsid w:val="0070791C"/>
    <w:pPr>
      <w:spacing w:line="240" w:lineRule="auto"/>
    </w:pPr>
    <w:rPr>
      <w:sz w:val="16"/>
    </w:rPr>
  </w:style>
  <w:style w:type="paragraph" w:customStyle="1" w:styleId="Copyright">
    <w:name w:val="Copyright"/>
    <w:basedOn w:val="Normal"/>
    <w:semiHidden/>
    <w:rsid w:val="00454596"/>
    <w:pPr>
      <w:spacing w:line="160" w:lineRule="exact"/>
    </w:pPr>
    <w:rPr>
      <w:color w:val="4D4D4F"/>
      <w:sz w:val="13"/>
    </w:rPr>
  </w:style>
  <w:style w:type="paragraph" w:styleId="TOCHeading">
    <w:name w:val="TOC Heading"/>
    <w:basedOn w:val="Normal"/>
    <w:qFormat/>
    <w:rsid w:val="00950159"/>
    <w:pPr>
      <w:spacing w:before="1200" w:line="240" w:lineRule="auto"/>
    </w:pPr>
    <w:rPr>
      <w:b/>
      <w:color w:val="323232"/>
      <w:spacing w:val="-28"/>
      <w:sz w:val="53"/>
    </w:rPr>
  </w:style>
  <w:style w:type="paragraph" w:styleId="Caption">
    <w:name w:val="caption"/>
    <w:aliases w:val="Caption table"/>
    <w:basedOn w:val="Normal"/>
    <w:next w:val="Normal"/>
    <w:qFormat/>
    <w:rsid w:val="00E8152A"/>
    <w:pPr>
      <w:numPr>
        <w:numId w:val="9"/>
      </w:numPr>
      <w:spacing w:after="0"/>
    </w:pPr>
    <w:rPr>
      <w:b/>
      <w:bCs/>
      <w:color w:val="323232"/>
      <w:szCs w:val="20"/>
    </w:rPr>
  </w:style>
  <w:style w:type="paragraph" w:customStyle="1" w:styleId="BodySubHeader">
    <w:name w:val="BodySubHeader"/>
    <w:basedOn w:val="Normal"/>
    <w:next w:val="Normal"/>
    <w:qFormat/>
    <w:rsid w:val="00146CE6"/>
    <w:pPr>
      <w:spacing w:before="240" w:after="0"/>
    </w:pPr>
    <w:rPr>
      <w:b/>
      <w:i/>
    </w:rPr>
  </w:style>
  <w:style w:type="paragraph" w:styleId="ListBullet">
    <w:name w:val="List Bullet"/>
    <w:basedOn w:val="Normal"/>
    <w:qFormat/>
    <w:rsid w:val="001C6AEE"/>
    <w:pPr>
      <w:numPr>
        <w:numId w:val="1"/>
      </w:numPr>
      <w:spacing w:after="80"/>
    </w:pPr>
  </w:style>
  <w:style w:type="paragraph" w:styleId="ListBullet2">
    <w:name w:val="List Bullet 2"/>
    <w:basedOn w:val="Normal"/>
    <w:qFormat/>
    <w:rsid w:val="001C6AEE"/>
    <w:pPr>
      <w:numPr>
        <w:numId w:val="2"/>
      </w:numPr>
      <w:spacing w:after="80"/>
    </w:pPr>
  </w:style>
  <w:style w:type="paragraph" w:styleId="ListNumber">
    <w:name w:val="List Number"/>
    <w:basedOn w:val="Normal"/>
    <w:qFormat/>
    <w:rsid w:val="00C24A53"/>
    <w:pPr>
      <w:numPr>
        <w:numId w:val="3"/>
      </w:numPr>
      <w:spacing w:after="80"/>
    </w:pPr>
  </w:style>
  <w:style w:type="paragraph" w:styleId="ListNumber2">
    <w:name w:val="List Number 2"/>
    <w:basedOn w:val="Normal"/>
    <w:qFormat/>
    <w:rsid w:val="00247C59"/>
    <w:pPr>
      <w:numPr>
        <w:numId w:val="4"/>
      </w:numPr>
      <w:spacing w:after="80"/>
      <w:ind w:left="845" w:hanging="544"/>
    </w:pPr>
  </w:style>
  <w:style w:type="paragraph" w:customStyle="1" w:styleId="URLEmail">
    <w:name w:val="URL/Email"/>
    <w:basedOn w:val="Normal"/>
    <w:semiHidden/>
    <w:rsid w:val="00302480"/>
    <w:rPr>
      <w:color w:val="4D4D4F"/>
      <w:spacing w:val="4"/>
    </w:rPr>
  </w:style>
  <w:style w:type="paragraph" w:customStyle="1" w:styleId="ACMAExecSummaryHeading">
    <w:name w:val="ACMA_ExecSummaryHeading"/>
    <w:basedOn w:val="Normal"/>
    <w:qFormat/>
    <w:rsid w:val="00950159"/>
    <w:pPr>
      <w:spacing w:after="1440" w:line="550" w:lineRule="exact"/>
    </w:pPr>
    <w:rPr>
      <w:b/>
      <w:color w:val="323232"/>
      <w:spacing w:val="-18"/>
      <w:sz w:val="53"/>
    </w:rPr>
  </w:style>
  <w:style w:type="character" w:styleId="PageNumber0">
    <w:name w:val="page number"/>
    <w:basedOn w:val="DefaultParagraphFont"/>
    <w:semiHidden/>
    <w:rsid w:val="00542377"/>
  </w:style>
  <w:style w:type="paragraph" w:styleId="BalloonText">
    <w:name w:val="Balloon Text"/>
    <w:basedOn w:val="Normal"/>
    <w:link w:val="BalloonTextChar"/>
    <w:semiHidden/>
    <w:rsid w:val="009F4C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DA2"/>
    <w:rPr>
      <w:rFonts w:ascii="Tahoma" w:hAnsi="Tahoma" w:cs="Tahoma"/>
      <w:sz w:val="16"/>
      <w:szCs w:val="16"/>
    </w:rPr>
  </w:style>
  <w:style w:type="paragraph" w:styleId="TOC1">
    <w:name w:val="toc 1"/>
    <w:basedOn w:val="Normal"/>
    <w:next w:val="Normal"/>
    <w:uiPriority w:val="39"/>
    <w:qFormat/>
    <w:rsid w:val="007A6CC0"/>
    <w:pPr>
      <w:tabs>
        <w:tab w:val="right" w:pos="7660"/>
      </w:tabs>
      <w:spacing w:before="280" w:after="80" w:line="320" w:lineRule="exact"/>
      <w:ind w:right="851"/>
    </w:pPr>
    <w:rPr>
      <w:b/>
      <w:noProof/>
      <w:spacing w:val="-14"/>
      <w:sz w:val="28"/>
    </w:rPr>
  </w:style>
  <w:style w:type="paragraph" w:styleId="TOC2">
    <w:name w:val="toc 2"/>
    <w:basedOn w:val="Normal"/>
    <w:next w:val="Normal"/>
    <w:uiPriority w:val="39"/>
    <w:qFormat/>
    <w:rsid w:val="007A6CC0"/>
    <w:pPr>
      <w:tabs>
        <w:tab w:val="right" w:pos="7660"/>
      </w:tabs>
      <w:spacing w:after="80" w:line="300" w:lineRule="exact"/>
      <w:ind w:left="885" w:hanging="885"/>
    </w:pPr>
    <w:rPr>
      <w:noProof/>
      <w:spacing w:val="-14"/>
      <w:sz w:val="26"/>
      <w:szCs w:val="26"/>
    </w:rPr>
  </w:style>
  <w:style w:type="paragraph" w:styleId="TableofFigures">
    <w:name w:val="table of figures"/>
    <w:basedOn w:val="Normal"/>
    <w:next w:val="Normal"/>
    <w:semiHidden/>
    <w:rsid w:val="00AD3082"/>
    <w:pPr>
      <w:tabs>
        <w:tab w:val="right" w:pos="7615"/>
      </w:tabs>
      <w:spacing w:line="320" w:lineRule="exact"/>
    </w:pPr>
    <w:rPr>
      <w:noProof/>
      <w:color w:val="808285"/>
      <w:sz w:val="28"/>
    </w:rPr>
  </w:style>
  <w:style w:type="paragraph" w:styleId="TOC3">
    <w:name w:val="toc 3"/>
    <w:basedOn w:val="Normal"/>
    <w:next w:val="Normal"/>
    <w:uiPriority w:val="39"/>
    <w:qFormat/>
    <w:rsid w:val="007A6CC0"/>
    <w:pPr>
      <w:tabs>
        <w:tab w:val="right" w:pos="7661"/>
      </w:tabs>
      <w:spacing w:after="80" w:line="240" w:lineRule="auto"/>
    </w:pPr>
    <w:rPr>
      <w:noProof/>
      <w:sz w:val="22"/>
      <w:szCs w:val="22"/>
    </w:rPr>
  </w:style>
  <w:style w:type="character" w:styleId="Hyperlink">
    <w:name w:val="Hyperlink"/>
    <w:basedOn w:val="DefaultParagraphFont"/>
    <w:uiPriority w:val="99"/>
    <w:qFormat/>
    <w:rsid w:val="003A5F5B"/>
    <w:rPr>
      <w:color w:val="0000FF"/>
      <w:u w:val="single"/>
    </w:rPr>
  </w:style>
  <w:style w:type="character" w:styleId="FootnoteReference">
    <w:name w:val="footnote reference"/>
    <w:aliases w:val="(NECG) Footnote Reference,(NECG) Footnote Reference1,(NECG) Footnote Reference2,o"/>
    <w:basedOn w:val="DefaultParagraphFont"/>
    <w:rsid w:val="00566AB4"/>
    <w:rPr>
      <w:rFonts w:ascii="Arial" w:hAnsi="Arial"/>
      <w:vertAlign w:val="superscript"/>
    </w:rPr>
  </w:style>
  <w:style w:type="paragraph" w:styleId="FootnoteText">
    <w:name w:val="footnote text"/>
    <w:aliases w:val="ACMA Footnote Text,ABA Footnote Text"/>
    <w:basedOn w:val="Normal"/>
    <w:link w:val="FootnoteTextChar"/>
    <w:rsid w:val="00566AB4"/>
    <w:rPr>
      <w:sz w:val="16"/>
      <w:szCs w:val="16"/>
    </w:rPr>
  </w:style>
  <w:style w:type="paragraph" w:customStyle="1" w:styleId="TableBody">
    <w:name w:val="Table Body"/>
    <w:basedOn w:val="Normal"/>
    <w:qFormat/>
    <w:rsid w:val="00774FDB"/>
    <w:pPr>
      <w:spacing w:after="0" w:line="240" w:lineRule="auto"/>
    </w:pPr>
  </w:style>
  <w:style w:type="character" w:styleId="CommentReference">
    <w:name w:val="annotation reference"/>
    <w:basedOn w:val="DefaultParagraphFont"/>
    <w:semiHidden/>
    <w:rsid w:val="00EE7F79"/>
    <w:rPr>
      <w:sz w:val="16"/>
      <w:szCs w:val="16"/>
    </w:rPr>
  </w:style>
  <w:style w:type="paragraph" w:styleId="CommentText">
    <w:name w:val="annotation text"/>
    <w:basedOn w:val="Normal"/>
    <w:link w:val="CommentTextChar"/>
    <w:semiHidden/>
    <w:rsid w:val="00EE7F79"/>
    <w:pPr>
      <w:spacing w:line="240" w:lineRule="auto"/>
    </w:pPr>
    <w:rPr>
      <w:szCs w:val="20"/>
    </w:rPr>
  </w:style>
  <w:style w:type="character" w:customStyle="1" w:styleId="CommentTextChar">
    <w:name w:val="Comment Text Char"/>
    <w:basedOn w:val="DefaultParagraphFont"/>
    <w:link w:val="CommentText"/>
    <w:semiHidden/>
    <w:rsid w:val="00EE7F79"/>
    <w:rPr>
      <w:rFonts w:ascii="Arial" w:hAnsi="Arial"/>
    </w:rPr>
  </w:style>
  <w:style w:type="paragraph" w:styleId="CommentSubject">
    <w:name w:val="annotation subject"/>
    <w:basedOn w:val="CommentText"/>
    <w:next w:val="CommentText"/>
    <w:link w:val="CommentSubjectChar"/>
    <w:semiHidden/>
    <w:rsid w:val="00EE7F79"/>
    <w:rPr>
      <w:b/>
      <w:bCs/>
    </w:rPr>
  </w:style>
  <w:style w:type="character" w:customStyle="1" w:styleId="CommentSubjectChar">
    <w:name w:val="Comment Subject Char"/>
    <w:basedOn w:val="CommentTextChar"/>
    <w:link w:val="CommentSubject"/>
    <w:semiHidden/>
    <w:rsid w:val="00EE7F79"/>
    <w:rPr>
      <w:rFonts w:ascii="Arial" w:hAnsi="Arial"/>
      <w:b/>
      <w:bCs/>
    </w:rPr>
  </w:style>
  <w:style w:type="character" w:styleId="FollowedHyperlink">
    <w:name w:val="FollowedHyperlink"/>
    <w:basedOn w:val="DefaultParagraphFont"/>
    <w:semiHidden/>
    <w:rsid w:val="00F60F00"/>
    <w:rPr>
      <w:color w:val="800080" w:themeColor="followedHyperlink"/>
      <w:u w:val="single"/>
    </w:rPr>
  </w:style>
  <w:style w:type="character" w:styleId="PlaceholderText">
    <w:name w:val="Placeholder Text"/>
    <w:basedOn w:val="DefaultParagraphFont"/>
    <w:uiPriority w:val="99"/>
    <w:semiHidden/>
    <w:rsid w:val="00C97736"/>
    <w:rPr>
      <w:color w:val="808080"/>
    </w:rPr>
  </w:style>
  <w:style w:type="paragraph" w:customStyle="1" w:styleId="ACMAInstructions">
    <w:name w:val="ACMA_Instructions"/>
    <w:basedOn w:val="Normal"/>
    <w:qFormat/>
    <w:rsid w:val="00BF610C"/>
    <w:pPr>
      <w:spacing w:after="200"/>
    </w:pPr>
    <w:rPr>
      <w:rFonts w:cs="Arial"/>
      <w:b/>
      <w:vanish/>
      <w:sz w:val="24"/>
    </w:rPr>
  </w:style>
  <w:style w:type="paragraph" w:customStyle="1" w:styleId="CorporateAddresses">
    <w:name w:val="Corporate Addresses"/>
    <w:basedOn w:val="Normal"/>
    <w:semiHidden/>
    <w:rsid w:val="0005011A"/>
    <w:pPr>
      <w:spacing w:line="140" w:lineRule="exact"/>
    </w:pPr>
    <w:rPr>
      <w:color w:val="4D4D4F"/>
      <w:sz w:val="13"/>
    </w:rPr>
  </w:style>
  <w:style w:type="character" w:styleId="Strong">
    <w:name w:val="Strong"/>
    <w:basedOn w:val="DefaultParagraphFont"/>
    <w:semiHidden/>
    <w:qFormat/>
    <w:rsid w:val="0005011A"/>
    <w:rPr>
      <w:b/>
      <w:bCs/>
    </w:rPr>
  </w:style>
  <w:style w:type="paragraph" w:customStyle="1" w:styleId="ACMACorporateAddressHeader">
    <w:name w:val="ACMA_CorporateAddressHeader"/>
    <w:basedOn w:val="Normal"/>
    <w:next w:val="ACMACorporateAddresses"/>
    <w:qFormat/>
    <w:rsid w:val="00FC07B9"/>
    <w:pPr>
      <w:tabs>
        <w:tab w:val="left" w:pos="142"/>
      </w:tabs>
      <w:spacing w:before="240" w:after="0" w:line="140" w:lineRule="exact"/>
    </w:pPr>
    <w:rPr>
      <w:b/>
      <w:sz w:val="13"/>
    </w:rPr>
  </w:style>
  <w:style w:type="paragraph" w:customStyle="1" w:styleId="ACMACorporateAddresses">
    <w:name w:val="ACMA_CorporateAddresses"/>
    <w:basedOn w:val="ACMACorporateAddressHeader"/>
    <w:qFormat/>
    <w:rsid w:val="00FC07B9"/>
    <w:pPr>
      <w:spacing w:before="0" w:after="120"/>
    </w:pPr>
    <w:rPr>
      <w:b w:val="0"/>
    </w:rPr>
  </w:style>
  <w:style w:type="paragraph" w:customStyle="1" w:styleId="ACMACopyrightHeader">
    <w:name w:val="ACMA_CopyrightHeader"/>
    <w:basedOn w:val="ACMACorporateAddressHeader"/>
    <w:qFormat/>
    <w:rsid w:val="00950159"/>
    <w:pPr>
      <w:spacing w:before="3000"/>
    </w:pPr>
  </w:style>
  <w:style w:type="paragraph" w:customStyle="1" w:styleId="ACMACClogo">
    <w:name w:val="ACMA_CClogo"/>
    <w:qFormat/>
    <w:rsid w:val="00623FF9"/>
    <w:pPr>
      <w:spacing w:before="160" w:after="120"/>
    </w:pPr>
    <w:rPr>
      <w:rFonts w:ascii="Arial" w:hAnsi="Arial"/>
      <w:b/>
      <w:sz w:val="13"/>
    </w:rPr>
  </w:style>
  <w:style w:type="paragraph" w:customStyle="1" w:styleId="ListBulletLast">
    <w:name w:val="List Bullet Last"/>
    <w:basedOn w:val="ListBullet"/>
    <w:qFormat/>
    <w:rsid w:val="00146CE6"/>
    <w:pPr>
      <w:spacing w:after="240"/>
    </w:pPr>
    <w:rPr>
      <w:rFonts w:cs="Arial"/>
    </w:rPr>
  </w:style>
  <w:style w:type="paragraph" w:customStyle="1" w:styleId="ListNumberLast">
    <w:name w:val="List Number Last"/>
    <w:basedOn w:val="ListNumber"/>
    <w:qFormat/>
    <w:rsid w:val="00C16198"/>
    <w:pPr>
      <w:spacing w:after="240"/>
      <w:ind w:left="357" w:hanging="357"/>
    </w:pPr>
    <w:rPr>
      <w:rFonts w:cs="Arial"/>
    </w:rPr>
  </w:style>
  <w:style w:type="paragraph" w:customStyle="1" w:styleId="ACMATableHeader">
    <w:name w:val="ACMA_TableHeader"/>
    <w:qFormat/>
    <w:rsid w:val="003F10EE"/>
    <w:pPr>
      <w:numPr>
        <w:numId w:val="7"/>
      </w:numPr>
      <w:spacing w:after="160"/>
    </w:pPr>
    <w:rPr>
      <w:rFonts w:ascii="Arial" w:hAnsi="Arial"/>
      <w:b/>
      <w:bCs/>
      <w:color w:val="323232"/>
      <w:sz w:val="20"/>
      <w:szCs w:val="20"/>
    </w:rPr>
  </w:style>
  <w:style w:type="paragraph" w:customStyle="1" w:styleId="ACMANotes">
    <w:name w:val="ACMA_Notes"/>
    <w:qFormat/>
    <w:rsid w:val="00FF206E"/>
    <w:pPr>
      <w:spacing w:before="80"/>
    </w:pPr>
    <w:rPr>
      <w:rFonts w:ascii="Arial" w:hAnsi="Arial" w:cs="Arial"/>
      <w:i/>
      <w:sz w:val="16"/>
    </w:rPr>
  </w:style>
  <w:style w:type="paragraph" w:customStyle="1" w:styleId="ACMANormalTabbed">
    <w:name w:val="ACMA_NormalTabbed"/>
    <w:basedOn w:val="Normal"/>
    <w:qFormat/>
    <w:rsid w:val="005E7226"/>
    <w:pPr>
      <w:tabs>
        <w:tab w:val="left" w:pos="1134"/>
      </w:tabs>
    </w:pPr>
  </w:style>
  <w:style w:type="character" w:styleId="Emphasis">
    <w:name w:val="Emphasis"/>
    <w:basedOn w:val="DefaultParagraphFont"/>
    <w:qFormat/>
    <w:rsid w:val="006D576C"/>
    <w:rPr>
      <w:i/>
      <w:iCs/>
    </w:rPr>
  </w:style>
  <w:style w:type="paragraph" w:customStyle="1" w:styleId="ListNumber2Last">
    <w:name w:val="List Number 2 Last"/>
    <w:basedOn w:val="ListNumber2"/>
    <w:qFormat/>
    <w:rsid w:val="00E35707"/>
    <w:pPr>
      <w:spacing w:after="240"/>
      <w:ind w:left="907"/>
    </w:pPr>
    <w:rPr>
      <w:rFonts w:cs="Arial"/>
    </w:rPr>
  </w:style>
  <w:style w:type="paragraph" w:customStyle="1" w:styleId="ACMASpaceaftertable">
    <w:name w:val="ACMA_Space after table"/>
    <w:basedOn w:val="Normal"/>
    <w:qFormat/>
    <w:rsid w:val="00C2083D"/>
    <w:rPr>
      <w:rFonts w:cs="Arial"/>
    </w:rPr>
  </w:style>
  <w:style w:type="paragraph" w:customStyle="1" w:styleId="FooterLeft">
    <w:name w:val="Footer Left"/>
    <w:basedOn w:val="Footer"/>
    <w:qFormat/>
    <w:rsid w:val="00950159"/>
    <w:pPr>
      <w:framePr w:w="1440" w:h="357" w:hRule="exact" w:vSpace="425" w:wrap="around" w:vAnchor="page" w:hAnchor="page" w:x="935" w:y="15871"/>
      <w:pBdr>
        <w:top w:val="single" w:sz="4" w:space="1" w:color="auto"/>
      </w:pBdr>
    </w:pPr>
    <w:rPr>
      <w:rFonts w:cs="Arial"/>
    </w:rPr>
  </w:style>
  <w:style w:type="paragraph" w:customStyle="1" w:styleId="ACMAFigureHeader">
    <w:name w:val="ACMA_FigureHeader"/>
    <w:qFormat/>
    <w:rsid w:val="003F10EE"/>
    <w:pPr>
      <w:numPr>
        <w:numId w:val="6"/>
      </w:numPr>
      <w:spacing w:after="160"/>
    </w:pPr>
    <w:rPr>
      <w:rFonts w:ascii="Arial" w:hAnsi="Arial"/>
      <w:b/>
      <w:bCs/>
      <w:color w:val="323232"/>
      <w:sz w:val="20"/>
      <w:szCs w:val="20"/>
    </w:rPr>
  </w:style>
  <w:style w:type="paragraph" w:customStyle="1" w:styleId="Captionfigure">
    <w:name w:val="Caption figure"/>
    <w:basedOn w:val="Caption"/>
    <w:qFormat/>
    <w:rsid w:val="00E8152A"/>
    <w:pPr>
      <w:keepNext/>
      <w:numPr>
        <w:numId w:val="8"/>
      </w:numPr>
    </w:pPr>
    <w:rPr>
      <w:rFonts w:cs="Arial"/>
    </w:rPr>
  </w:style>
  <w:style w:type="paragraph" w:customStyle="1" w:styleId="GridTable31">
    <w:name w:val="Grid Table 31"/>
    <w:basedOn w:val="Normal"/>
    <w:qFormat/>
    <w:rsid w:val="00971914"/>
    <w:pPr>
      <w:spacing w:after="0" w:line="240" w:lineRule="auto"/>
    </w:pPr>
    <w:rPr>
      <w:b/>
      <w:color w:val="4D4D4F"/>
      <w:spacing w:val="-28"/>
      <w:sz w:val="53"/>
    </w:rPr>
  </w:style>
  <w:style w:type="character" w:customStyle="1" w:styleId="HeaderChar">
    <w:name w:val="Header Char"/>
    <w:link w:val="Header"/>
    <w:semiHidden/>
    <w:rsid w:val="00971914"/>
    <w:rPr>
      <w:rFonts w:ascii="Arial" w:hAnsi="Arial"/>
      <w:sz w:val="16"/>
    </w:rPr>
  </w:style>
  <w:style w:type="paragraph" w:customStyle="1" w:styleId="ABABodyText">
    <w:name w:val="ABA Body Text"/>
    <w:link w:val="ABABodyTextChar"/>
    <w:rsid w:val="00123733"/>
    <w:pPr>
      <w:suppressAutoHyphens/>
      <w:spacing w:before="80" w:after="120" w:line="280" w:lineRule="atLeast"/>
    </w:pPr>
    <w:rPr>
      <w:snapToGrid w:val="0"/>
      <w:szCs w:val="20"/>
      <w:lang w:eastAsia="en-US"/>
    </w:rPr>
  </w:style>
  <w:style w:type="character" w:customStyle="1" w:styleId="ABABodyTextChar">
    <w:name w:val="ABA Body Text Char"/>
    <w:basedOn w:val="DefaultParagraphFont"/>
    <w:link w:val="ABABodyText"/>
    <w:locked/>
    <w:rsid w:val="00123733"/>
    <w:rPr>
      <w:snapToGrid w:val="0"/>
      <w:szCs w:val="20"/>
      <w:lang w:eastAsia="en-US"/>
    </w:rPr>
  </w:style>
  <w:style w:type="paragraph" w:styleId="ListParagraph">
    <w:name w:val="List Paragraph"/>
    <w:basedOn w:val="Normal"/>
    <w:uiPriority w:val="34"/>
    <w:qFormat/>
    <w:rsid w:val="0012373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CMABodyText">
    <w:name w:val="ACMA_BodyText"/>
    <w:qFormat/>
    <w:rsid w:val="00465D8F"/>
    <w:pPr>
      <w:suppressAutoHyphens/>
      <w:spacing w:after="240" w:line="240" w:lineRule="atLeast"/>
    </w:pPr>
    <w:rPr>
      <w:rFonts w:ascii="Arial" w:hAnsi="Arial"/>
      <w:snapToGrid w:val="0"/>
      <w:sz w:val="20"/>
      <w:szCs w:val="20"/>
      <w:lang w:eastAsia="en-US"/>
    </w:rPr>
  </w:style>
  <w:style w:type="character" w:customStyle="1" w:styleId="FootnoteTextChar">
    <w:name w:val="Footnote Text Char"/>
    <w:aliases w:val="ACMA Footnote Text Char,ABA Footnote Text Char"/>
    <w:basedOn w:val="DefaultParagraphFont"/>
    <w:link w:val="FootnoteText"/>
    <w:rsid w:val="001D47B1"/>
    <w:rPr>
      <w:rFonts w:ascii="Arial" w:hAnsi="Arial"/>
      <w:sz w:val="16"/>
      <w:szCs w:val="16"/>
    </w:rPr>
  </w:style>
  <w:style w:type="paragraph" w:customStyle="1" w:styleId="ACMABodyTextBold">
    <w:name w:val="ACMA_BodyTextBold"/>
    <w:basedOn w:val="ACMABodyText"/>
    <w:qFormat/>
    <w:rsid w:val="001D47B1"/>
    <w:pPr>
      <w:spacing w:line="240" w:lineRule="auto"/>
    </w:pPr>
    <w:rPr>
      <w:rFonts w:cs="Arial"/>
      <w:b/>
    </w:rPr>
  </w:style>
  <w:style w:type="paragraph" w:customStyle="1" w:styleId="ACMABodyText0">
    <w:name w:val="ACMA Body Text"/>
    <w:link w:val="ACMABodyTextChar"/>
    <w:rsid w:val="001D47B1"/>
    <w:pPr>
      <w:suppressAutoHyphens/>
      <w:spacing w:before="80" w:after="120" w:line="280" w:lineRule="atLeast"/>
    </w:pPr>
    <w:rPr>
      <w:snapToGrid w:val="0"/>
      <w:szCs w:val="20"/>
      <w:lang w:eastAsia="en-US"/>
    </w:rPr>
  </w:style>
  <w:style w:type="character" w:customStyle="1" w:styleId="ACMABodyTextChar">
    <w:name w:val="ACMA Body Text Char"/>
    <w:basedOn w:val="DefaultParagraphFont"/>
    <w:link w:val="ACMABodyText0"/>
    <w:locked/>
    <w:rsid w:val="001D47B1"/>
    <w:rPr>
      <w:snapToGrid w:val="0"/>
      <w:szCs w:val="20"/>
      <w:lang w:eastAsia="en-US"/>
    </w:rPr>
  </w:style>
  <w:style w:type="paragraph" w:styleId="NormalWeb">
    <w:name w:val="Normal (Web)"/>
    <w:basedOn w:val="Normal"/>
    <w:uiPriority w:val="99"/>
    <w:semiHidden/>
    <w:unhideWhenUsed/>
    <w:rsid w:val="00803B58"/>
    <w:pPr>
      <w:spacing w:before="100" w:beforeAutospacing="1" w:after="100" w:afterAutospacing="1" w:line="240" w:lineRule="auto"/>
    </w:pPr>
    <w:rPr>
      <w:rFonts w:ascii="Times New Roman" w:hAnsi="Times New Roman"/>
      <w:sz w:val="24"/>
    </w:rPr>
  </w:style>
  <w:style w:type="character" w:customStyle="1" w:styleId="UnresolvedMention1">
    <w:name w:val="Unresolved Mention1"/>
    <w:basedOn w:val="DefaultParagraphFont"/>
    <w:uiPriority w:val="99"/>
    <w:semiHidden/>
    <w:unhideWhenUsed/>
    <w:rsid w:val="006B2B53"/>
    <w:rPr>
      <w:color w:val="605E5C"/>
      <w:shd w:val="clear" w:color="auto" w:fill="E1DFDD"/>
    </w:rPr>
  </w:style>
  <w:style w:type="paragraph" w:customStyle="1" w:styleId="Default">
    <w:name w:val="Default"/>
    <w:rsid w:val="00C7154B"/>
    <w:pPr>
      <w:autoSpaceDE w:val="0"/>
      <w:autoSpaceDN w:val="0"/>
      <w:adjustRightInd w:val="0"/>
    </w:pPr>
    <w:rPr>
      <w:color w:val="000000"/>
    </w:rPr>
  </w:style>
  <w:style w:type="character" w:customStyle="1" w:styleId="UnresolvedMention2">
    <w:name w:val="Unresolved Mention2"/>
    <w:basedOn w:val="DefaultParagraphFont"/>
    <w:uiPriority w:val="99"/>
    <w:semiHidden/>
    <w:unhideWhenUsed/>
    <w:rsid w:val="00BA31D1"/>
    <w:rPr>
      <w:color w:val="605E5C"/>
      <w:shd w:val="clear" w:color="auto" w:fill="E1DFDD"/>
    </w:rPr>
  </w:style>
  <w:style w:type="paragraph" w:customStyle="1" w:styleId="tabletext">
    <w:name w:val="tabletext"/>
    <w:basedOn w:val="Normal"/>
    <w:rsid w:val="005C6659"/>
    <w:pPr>
      <w:spacing w:before="100" w:beforeAutospacing="1" w:after="100" w:afterAutospacing="1" w:line="240" w:lineRule="auto"/>
    </w:pPr>
    <w:rPr>
      <w:rFonts w:ascii="Times New Roman" w:hAnsi="Times New Roman"/>
      <w:sz w:val="24"/>
    </w:rPr>
  </w:style>
  <w:style w:type="paragraph" w:customStyle="1" w:styleId="paragraph">
    <w:name w:val="paragraph"/>
    <w:basedOn w:val="Normal"/>
    <w:rsid w:val="00F90571"/>
    <w:pPr>
      <w:spacing w:before="100" w:beforeAutospacing="1" w:after="100" w:afterAutospacing="1" w:line="240" w:lineRule="auto"/>
    </w:pPr>
    <w:rPr>
      <w:rFonts w:ascii="Times New Roman" w:hAnsi="Times New Roman"/>
      <w:sz w:val="24"/>
    </w:rPr>
  </w:style>
  <w:style w:type="paragraph" w:customStyle="1" w:styleId="definition">
    <w:name w:val="definition"/>
    <w:basedOn w:val="Normal"/>
    <w:rsid w:val="002B59EC"/>
    <w:pPr>
      <w:spacing w:before="100" w:beforeAutospacing="1" w:after="100" w:afterAutospacing="1" w:line="240" w:lineRule="auto"/>
    </w:pPr>
    <w:rPr>
      <w:rFonts w:ascii="Times New Roman" w:hAnsi="Times New Roman"/>
      <w:sz w:val="24"/>
    </w:rPr>
  </w:style>
  <w:style w:type="paragraph" w:customStyle="1" w:styleId="paragraphsub">
    <w:name w:val="paragraphsub"/>
    <w:basedOn w:val="Normal"/>
    <w:rsid w:val="002B59EC"/>
    <w:pPr>
      <w:spacing w:before="100" w:beforeAutospacing="1" w:after="100" w:afterAutospacing="1" w:line="240" w:lineRule="auto"/>
    </w:pPr>
    <w:rPr>
      <w:rFonts w:ascii="Times New Roman" w:hAnsi="Times New Roman"/>
      <w:sz w:val="24"/>
    </w:rPr>
  </w:style>
  <w:style w:type="character" w:styleId="UnresolvedMention">
    <w:name w:val="Unresolved Mention"/>
    <w:basedOn w:val="DefaultParagraphFont"/>
    <w:uiPriority w:val="99"/>
    <w:semiHidden/>
    <w:unhideWhenUsed/>
    <w:rsid w:val="00990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0605">
      <w:bodyDiv w:val="1"/>
      <w:marLeft w:val="0"/>
      <w:marRight w:val="0"/>
      <w:marTop w:val="0"/>
      <w:marBottom w:val="0"/>
      <w:divBdr>
        <w:top w:val="none" w:sz="0" w:space="0" w:color="auto"/>
        <w:left w:val="none" w:sz="0" w:space="0" w:color="auto"/>
        <w:bottom w:val="none" w:sz="0" w:space="0" w:color="auto"/>
        <w:right w:val="none" w:sz="0" w:space="0" w:color="auto"/>
      </w:divBdr>
    </w:div>
    <w:div w:id="154617529">
      <w:bodyDiv w:val="1"/>
      <w:marLeft w:val="0"/>
      <w:marRight w:val="0"/>
      <w:marTop w:val="0"/>
      <w:marBottom w:val="0"/>
      <w:divBdr>
        <w:top w:val="none" w:sz="0" w:space="0" w:color="auto"/>
        <w:left w:val="none" w:sz="0" w:space="0" w:color="auto"/>
        <w:bottom w:val="none" w:sz="0" w:space="0" w:color="auto"/>
        <w:right w:val="none" w:sz="0" w:space="0" w:color="auto"/>
      </w:divBdr>
    </w:div>
    <w:div w:id="181478621">
      <w:bodyDiv w:val="1"/>
      <w:marLeft w:val="0"/>
      <w:marRight w:val="0"/>
      <w:marTop w:val="0"/>
      <w:marBottom w:val="0"/>
      <w:divBdr>
        <w:top w:val="none" w:sz="0" w:space="0" w:color="auto"/>
        <w:left w:val="none" w:sz="0" w:space="0" w:color="auto"/>
        <w:bottom w:val="none" w:sz="0" w:space="0" w:color="auto"/>
        <w:right w:val="none" w:sz="0" w:space="0" w:color="auto"/>
      </w:divBdr>
    </w:div>
    <w:div w:id="574701623">
      <w:bodyDiv w:val="1"/>
      <w:marLeft w:val="0"/>
      <w:marRight w:val="0"/>
      <w:marTop w:val="0"/>
      <w:marBottom w:val="0"/>
      <w:divBdr>
        <w:top w:val="none" w:sz="0" w:space="0" w:color="auto"/>
        <w:left w:val="none" w:sz="0" w:space="0" w:color="auto"/>
        <w:bottom w:val="none" w:sz="0" w:space="0" w:color="auto"/>
        <w:right w:val="none" w:sz="0" w:space="0" w:color="auto"/>
      </w:divBdr>
      <w:divsChild>
        <w:div w:id="1230727733">
          <w:marLeft w:val="0"/>
          <w:marRight w:val="0"/>
          <w:marTop w:val="0"/>
          <w:marBottom w:val="0"/>
          <w:divBdr>
            <w:top w:val="none" w:sz="0" w:space="0" w:color="auto"/>
            <w:left w:val="none" w:sz="0" w:space="0" w:color="auto"/>
            <w:bottom w:val="none" w:sz="0" w:space="0" w:color="auto"/>
            <w:right w:val="none" w:sz="0" w:space="0" w:color="auto"/>
          </w:divBdr>
          <w:divsChild>
            <w:div w:id="1739741242">
              <w:marLeft w:val="0"/>
              <w:marRight w:val="0"/>
              <w:marTop w:val="0"/>
              <w:marBottom w:val="0"/>
              <w:divBdr>
                <w:top w:val="none" w:sz="0" w:space="0" w:color="auto"/>
                <w:left w:val="none" w:sz="0" w:space="0" w:color="auto"/>
                <w:bottom w:val="none" w:sz="0" w:space="0" w:color="auto"/>
                <w:right w:val="none" w:sz="0" w:space="0" w:color="auto"/>
              </w:divBdr>
              <w:divsChild>
                <w:div w:id="572933404">
                  <w:marLeft w:val="0"/>
                  <w:marRight w:val="0"/>
                  <w:marTop w:val="0"/>
                  <w:marBottom w:val="0"/>
                  <w:divBdr>
                    <w:top w:val="none" w:sz="0" w:space="0" w:color="auto"/>
                    <w:left w:val="none" w:sz="0" w:space="0" w:color="auto"/>
                    <w:bottom w:val="none" w:sz="0" w:space="0" w:color="auto"/>
                    <w:right w:val="none" w:sz="0" w:space="0" w:color="auto"/>
                  </w:divBdr>
                  <w:divsChild>
                    <w:div w:id="1890455931">
                      <w:marLeft w:val="0"/>
                      <w:marRight w:val="0"/>
                      <w:marTop w:val="0"/>
                      <w:marBottom w:val="0"/>
                      <w:divBdr>
                        <w:top w:val="none" w:sz="0" w:space="0" w:color="auto"/>
                        <w:left w:val="none" w:sz="0" w:space="0" w:color="auto"/>
                        <w:bottom w:val="none" w:sz="0" w:space="0" w:color="auto"/>
                        <w:right w:val="none" w:sz="0" w:space="0" w:color="auto"/>
                      </w:divBdr>
                      <w:divsChild>
                        <w:div w:id="179321636">
                          <w:marLeft w:val="0"/>
                          <w:marRight w:val="0"/>
                          <w:marTop w:val="0"/>
                          <w:marBottom w:val="0"/>
                          <w:divBdr>
                            <w:top w:val="none" w:sz="0" w:space="0" w:color="auto"/>
                            <w:left w:val="none" w:sz="0" w:space="0" w:color="auto"/>
                            <w:bottom w:val="none" w:sz="0" w:space="0" w:color="auto"/>
                            <w:right w:val="none" w:sz="0" w:space="0" w:color="auto"/>
                          </w:divBdr>
                          <w:divsChild>
                            <w:div w:id="439029624">
                              <w:marLeft w:val="0"/>
                              <w:marRight w:val="0"/>
                              <w:marTop w:val="0"/>
                              <w:marBottom w:val="0"/>
                              <w:divBdr>
                                <w:top w:val="none" w:sz="0" w:space="0" w:color="auto"/>
                                <w:left w:val="none" w:sz="0" w:space="0" w:color="auto"/>
                                <w:bottom w:val="none" w:sz="0" w:space="0" w:color="auto"/>
                                <w:right w:val="none" w:sz="0" w:space="0" w:color="auto"/>
                              </w:divBdr>
                              <w:divsChild>
                                <w:div w:id="929242798">
                                  <w:marLeft w:val="0"/>
                                  <w:marRight w:val="0"/>
                                  <w:marTop w:val="0"/>
                                  <w:marBottom w:val="0"/>
                                  <w:divBdr>
                                    <w:top w:val="none" w:sz="0" w:space="0" w:color="auto"/>
                                    <w:left w:val="none" w:sz="0" w:space="0" w:color="auto"/>
                                    <w:bottom w:val="none" w:sz="0" w:space="0" w:color="auto"/>
                                    <w:right w:val="none" w:sz="0" w:space="0" w:color="auto"/>
                                  </w:divBdr>
                                  <w:divsChild>
                                    <w:div w:id="487596880">
                                      <w:marLeft w:val="0"/>
                                      <w:marRight w:val="0"/>
                                      <w:marTop w:val="0"/>
                                      <w:marBottom w:val="0"/>
                                      <w:divBdr>
                                        <w:top w:val="none" w:sz="0" w:space="0" w:color="auto"/>
                                        <w:left w:val="none" w:sz="0" w:space="0" w:color="auto"/>
                                        <w:bottom w:val="none" w:sz="0" w:space="0" w:color="auto"/>
                                        <w:right w:val="none" w:sz="0" w:space="0" w:color="auto"/>
                                      </w:divBdr>
                                      <w:divsChild>
                                        <w:div w:id="1302349539">
                                          <w:marLeft w:val="0"/>
                                          <w:marRight w:val="0"/>
                                          <w:marTop w:val="0"/>
                                          <w:marBottom w:val="0"/>
                                          <w:divBdr>
                                            <w:top w:val="none" w:sz="0" w:space="0" w:color="auto"/>
                                            <w:left w:val="none" w:sz="0" w:space="0" w:color="auto"/>
                                            <w:bottom w:val="none" w:sz="0" w:space="0" w:color="auto"/>
                                            <w:right w:val="none" w:sz="0" w:space="0" w:color="auto"/>
                                          </w:divBdr>
                                          <w:divsChild>
                                            <w:div w:id="1708798768">
                                              <w:marLeft w:val="0"/>
                                              <w:marRight w:val="0"/>
                                              <w:marTop w:val="0"/>
                                              <w:marBottom w:val="0"/>
                                              <w:divBdr>
                                                <w:top w:val="none" w:sz="0" w:space="0" w:color="auto"/>
                                                <w:left w:val="none" w:sz="0" w:space="0" w:color="auto"/>
                                                <w:bottom w:val="none" w:sz="0" w:space="0" w:color="auto"/>
                                                <w:right w:val="none" w:sz="0" w:space="0" w:color="auto"/>
                                              </w:divBdr>
                                              <w:divsChild>
                                                <w:div w:id="56126688">
                                                  <w:marLeft w:val="0"/>
                                                  <w:marRight w:val="0"/>
                                                  <w:marTop w:val="0"/>
                                                  <w:marBottom w:val="0"/>
                                                  <w:divBdr>
                                                    <w:top w:val="none" w:sz="0" w:space="0" w:color="auto"/>
                                                    <w:left w:val="none" w:sz="0" w:space="0" w:color="auto"/>
                                                    <w:bottom w:val="none" w:sz="0" w:space="0" w:color="auto"/>
                                                    <w:right w:val="none" w:sz="0" w:space="0" w:color="auto"/>
                                                  </w:divBdr>
                                                  <w:divsChild>
                                                    <w:div w:id="1772967285">
                                                      <w:marLeft w:val="0"/>
                                                      <w:marRight w:val="0"/>
                                                      <w:marTop w:val="0"/>
                                                      <w:marBottom w:val="0"/>
                                                      <w:divBdr>
                                                        <w:top w:val="none" w:sz="0" w:space="0" w:color="auto"/>
                                                        <w:left w:val="none" w:sz="0" w:space="0" w:color="auto"/>
                                                        <w:bottom w:val="none" w:sz="0" w:space="0" w:color="auto"/>
                                                        <w:right w:val="none" w:sz="0" w:space="0" w:color="auto"/>
                                                      </w:divBdr>
                                                      <w:divsChild>
                                                        <w:div w:id="148172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7081067">
      <w:bodyDiv w:val="1"/>
      <w:marLeft w:val="0"/>
      <w:marRight w:val="0"/>
      <w:marTop w:val="0"/>
      <w:marBottom w:val="0"/>
      <w:divBdr>
        <w:top w:val="none" w:sz="0" w:space="0" w:color="auto"/>
        <w:left w:val="none" w:sz="0" w:space="0" w:color="auto"/>
        <w:bottom w:val="none" w:sz="0" w:space="0" w:color="auto"/>
        <w:right w:val="none" w:sz="0" w:space="0" w:color="auto"/>
      </w:divBdr>
      <w:divsChild>
        <w:div w:id="1557738334">
          <w:marLeft w:val="0"/>
          <w:marRight w:val="0"/>
          <w:marTop w:val="0"/>
          <w:marBottom w:val="0"/>
          <w:divBdr>
            <w:top w:val="none" w:sz="0" w:space="0" w:color="auto"/>
            <w:left w:val="none" w:sz="0" w:space="0" w:color="auto"/>
            <w:bottom w:val="none" w:sz="0" w:space="0" w:color="auto"/>
            <w:right w:val="none" w:sz="0" w:space="0" w:color="auto"/>
          </w:divBdr>
          <w:divsChild>
            <w:div w:id="2006393577">
              <w:marLeft w:val="0"/>
              <w:marRight w:val="0"/>
              <w:marTop w:val="0"/>
              <w:marBottom w:val="0"/>
              <w:divBdr>
                <w:top w:val="none" w:sz="0" w:space="0" w:color="auto"/>
                <w:left w:val="none" w:sz="0" w:space="0" w:color="auto"/>
                <w:bottom w:val="none" w:sz="0" w:space="0" w:color="auto"/>
                <w:right w:val="none" w:sz="0" w:space="0" w:color="auto"/>
              </w:divBdr>
              <w:divsChild>
                <w:div w:id="2118789563">
                  <w:marLeft w:val="0"/>
                  <w:marRight w:val="0"/>
                  <w:marTop w:val="0"/>
                  <w:marBottom w:val="0"/>
                  <w:divBdr>
                    <w:top w:val="none" w:sz="0" w:space="0" w:color="auto"/>
                    <w:left w:val="none" w:sz="0" w:space="0" w:color="auto"/>
                    <w:bottom w:val="none" w:sz="0" w:space="0" w:color="auto"/>
                    <w:right w:val="none" w:sz="0" w:space="0" w:color="auto"/>
                  </w:divBdr>
                  <w:divsChild>
                    <w:div w:id="798034331">
                      <w:marLeft w:val="0"/>
                      <w:marRight w:val="0"/>
                      <w:marTop w:val="0"/>
                      <w:marBottom w:val="0"/>
                      <w:divBdr>
                        <w:top w:val="none" w:sz="0" w:space="0" w:color="auto"/>
                        <w:left w:val="none" w:sz="0" w:space="0" w:color="auto"/>
                        <w:bottom w:val="none" w:sz="0" w:space="0" w:color="auto"/>
                        <w:right w:val="none" w:sz="0" w:space="0" w:color="auto"/>
                      </w:divBdr>
                      <w:divsChild>
                        <w:div w:id="136841338">
                          <w:marLeft w:val="0"/>
                          <w:marRight w:val="0"/>
                          <w:marTop w:val="0"/>
                          <w:marBottom w:val="0"/>
                          <w:divBdr>
                            <w:top w:val="none" w:sz="0" w:space="0" w:color="auto"/>
                            <w:left w:val="none" w:sz="0" w:space="0" w:color="auto"/>
                            <w:bottom w:val="none" w:sz="0" w:space="0" w:color="auto"/>
                            <w:right w:val="none" w:sz="0" w:space="0" w:color="auto"/>
                          </w:divBdr>
                          <w:divsChild>
                            <w:div w:id="518079823">
                              <w:marLeft w:val="0"/>
                              <w:marRight w:val="0"/>
                              <w:marTop w:val="0"/>
                              <w:marBottom w:val="0"/>
                              <w:divBdr>
                                <w:top w:val="none" w:sz="0" w:space="0" w:color="auto"/>
                                <w:left w:val="none" w:sz="0" w:space="0" w:color="auto"/>
                                <w:bottom w:val="none" w:sz="0" w:space="0" w:color="auto"/>
                                <w:right w:val="none" w:sz="0" w:space="0" w:color="auto"/>
                              </w:divBdr>
                              <w:divsChild>
                                <w:div w:id="1300840617">
                                  <w:marLeft w:val="0"/>
                                  <w:marRight w:val="0"/>
                                  <w:marTop w:val="0"/>
                                  <w:marBottom w:val="0"/>
                                  <w:divBdr>
                                    <w:top w:val="none" w:sz="0" w:space="0" w:color="auto"/>
                                    <w:left w:val="none" w:sz="0" w:space="0" w:color="auto"/>
                                    <w:bottom w:val="none" w:sz="0" w:space="0" w:color="auto"/>
                                    <w:right w:val="none" w:sz="0" w:space="0" w:color="auto"/>
                                  </w:divBdr>
                                  <w:divsChild>
                                    <w:div w:id="444614206">
                                      <w:marLeft w:val="0"/>
                                      <w:marRight w:val="0"/>
                                      <w:marTop w:val="0"/>
                                      <w:marBottom w:val="0"/>
                                      <w:divBdr>
                                        <w:top w:val="none" w:sz="0" w:space="0" w:color="auto"/>
                                        <w:left w:val="none" w:sz="0" w:space="0" w:color="auto"/>
                                        <w:bottom w:val="none" w:sz="0" w:space="0" w:color="auto"/>
                                        <w:right w:val="none" w:sz="0" w:space="0" w:color="auto"/>
                                      </w:divBdr>
                                      <w:divsChild>
                                        <w:div w:id="2024932513">
                                          <w:marLeft w:val="0"/>
                                          <w:marRight w:val="0"/>
                                          <w:marTop w:val="0"/>
                                          <w:marBottom w:val="0"/>
                                          <w:divBdr>
                                            <w:top w:val="none" w:sz="0" w:space="0" w:color="auto"/>
                                            <w:left w:val="none" w:sz="0" w:space="0" w:color="auto"/>
                                            <w:bottom w:val="none" w:sz="0" w:space="0" w:color="auto"/>
                                            <w:right w:val="none" w:sz="0" w:space="0" w:color="auto"/>
                                          </w:divBdr>
                                          <w:divsChild>
                                            <w:div w:id="1266039011">
                                              <w:marLeft w:val="0"/>
                                              <w:marRight w:val="0"/>
                                              <w:marTop w:val="0"/>
                                              <w:marBottom w:val="0"/>
                                              <w:divBdr>
                                                <w:top w:val="none" w:sz="0" w:space="0" w:color="auto"/>
                                                <w:left w:val="none" w:sz="0" w:space="0" w:color="auto"/>
                                                <w:bottom w:val="none" w:sz="0" w:space="0" w:color="auto"/>
                                                <w:right w:val="none" w:sz="0" w:space="0" w:color="auto"/>
                                              </w:divBdr>
                                              <w:divsChild>
                                                <w:div w:id="436407986">
                                                  <w:marLeft w:val="0"/>
                                                  <w:marRight w:val="0"/>
                                                  <w:marTop w:val="0"/>
                                                  <w:marBottom w:val="0"/>
                                                  <w:divBdr>
                                                    <w:top w:val="none" w:sz="0" w:space="0" w:color="auto"/>
                                                    <w:left w:val="none" w:sz="0" w:space="0" w:color="auto"/>
                                                    <w:bottom w:val="none" w:sz="0" w:space="0" w:color="auto"/>
                                                    <w:right w:val="none" w:sz="0" w:space="0" w:color="auto"/>
                                                  </w:divBdr>
                                                  <w:divsChild>
                                                    <w:div w:id="836651280">
                                                      <w:marLeft w:val="0"/>
                                                      <w:marRight w:val="0"/>
                                                      <w:marTop w:val="0"/>
                                                      <w:marBottom w:val="0"/>
                                                      <w:divBdr>
                                                        <w:top w:val="none" w:sz="0" w:space="0" w:color="auto"/>
                                                        <w:left w:val="none" w:sz="0" w:space="0" w:color="auto"/>
                                                        <w:bottom w:val="none" w:sz="0" w:space="0" w:color="auto"/>
                                                        <w:right w:val="none" w:sz="0" w:space="0" w:color="auto"/>
                                                      </w:divBdr>
                                                      <w:divsChild>
                                                        <w:div w:id="21230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916440">
      <w:bodyDiv w:val="1"/>
      <w:marLeft w:val="0"/>
      <w:marRight w:val="0"/>
      <w:marTop w:val="0"/>
      <w:marBottom w:val="0"/>
      <w:divBdr>
        <w:top w:val="none" w:sz="0" w:space="0" w:color="auto"/>
        <w:left w:val="none" w:sz="0" w:space="0" w:color="auto"/>
        <w:bottom w:val="none" w:sz="0" w:space="0" w:color="auto"/>
        <w:right w:val="none" w:sz="0" w:space="0" w:color="auto"/>
      </w:divBdr>
    </w:div>
    <w:div w:id="766386403">
      <w:bodyDiv w:val="1"/>
      <w:marLeft w:val="0"/>
      <w:marRight w:val="0"/>
      <w:marTop w:val="0"/>
      <w:marBottom w:val="0"/>
      <w:divBdr>
        <w:top w:val="none" w:sz="0" w:space="0" w:color="auto"/>
        <w:left w:val="none" w:sz="0" w:space="0" w:color="auto"/>
        <w:bottom w:val="none" w:sz="0" w:space="0" w:color="auto"/>
        <w:right w:val="none" w:sz="0" w:space="0" w:color="auto"/>
      </w:divBdr>
      <w:divsChild>
        <w:div w:id="422460945">
          <w:marLeft w:val="0"/>
          <w:marRight w:val="0"/>
          <w:marTop w:val="0"/>
          <w:marBottom w:val="0"/>
          <w:divBdr>
            <w:top w:val="none" w:sz="0" w:space="0" w:color="auto"/>
            <w:left w:val="none" w:sz="0" w:space="0" w:color="auto"/>
            <w:bottom w:val="none" w:sz="0" w:space="0" w:color="auto"/>
            <w:right w:val="none" w:sz="0" w:space="0" w:color="auto"/>
          </w:divBdr>
          <w:divsChild>
            <w:div w:id="602035140">
              <w:marLeft w:val="0"/>
              <w:marRight w:val="0"/>
              <w:marTop w:val="0"/>
              <w:marBottom w:val="0"/>
              <w:divBdr>
                <w:top w:val="none" w:sz="0" w:space="0" w:color="auto"/>
                <w:left w:val="none" w:sz="0" w:space="0" w:color="auto"/>
                <w:bottom w:val="none" w:sz="0" w:space="0" w:color="auto"/>
                <w:right w:val="none" w:sz="0" w:space="0" w:color="auto"/>
              </w:divBdr>
              <w:divsChild>
                <w:div w:id="968509212">
                  <w:marLeft w:val="0"/>
                  <w:marRight w:val="0"/>
                  <w:marTop w:val="0"/>
                  <w:marBottom w:val="0"/>
                  <w:divBdr>
                    <w:top w:val="none" w:sz="0" w:space="0" w:color="auto"/>
                    <w:left w:val="none" w:sz="0" w:space="0" w:color="auto"/>
                    <w:bottom w:val="none" w:sz="0" w:space="0" w:color="auto"/>
                    <w:right w:val="none" w:sz="0" w:space="0" w:color="auto"/>
                  </w:divBdr>
                  <w:divsChild>
                    <w:div w:id="722489117">
                      <w:marLeft w:val="0"/>
                      <w:marRight w:val="0"/>
                      <w:marTop w:val="0"/>
                      <w:marBottom w:val="0"/>
                      <w:divBdr>
                        <w:top w:val="none" w:sz="0" w:space="0" w:color="auto"/>
                        <w:left w:val="none" w:sz="0" w:space="0" w:color="auto"/>
                        <w:bottom w:val="none" w:sz="0" w:space="0" w:color="auto"/>
                        <w:right w:val="none" w:sz="0" w:space="0" w:color="auto"/>
                      </w:divBdr>
                      <w:divsChild>
                        <w:div w:id="1381631494">
                          <w:marLeft w:val="0"/>
                          <w:marRight w:val="0"/>
                          <w:marTop w:val="0"/>
                          <w:marBottom w:val="0"/>
                          <w:divBdr>
                            <w:top w:val="none" w:sz="0" w:space="0" w:color="auto"/>
                            <w:left w:val="none" w:sz="0" w:space="0" w:color="auto"/>
                            <w:bottom w:val="none" w:sz="0" w:space="0" w:color="auto"/>
                            <w:right w:val="none" w:sz="0" w:space="0" w:color="auto"/>
                          </w:divBdr>
                          <w:divsChild>
                            <w:div w:id="1004435810">
                              <w:marLeft w:val="0"/>
                              <w:marRight w:val="0"/>
                              <w:marTop w:val="0"/>
                              <w:marBottom w:val="0"/>
                              <w:divBdr>
                                <w:top w:val="none" w:sz="0" w:space="0" w:color="auto"/>
                                <w:left w:val="none" w:sz="0" w:space="0" w:color="auto"/>
                                <w:bottom w:val="none" w:sz="0" w:space="0" w:color="auto"/>
                                <w:right w:val="none" w:sz="0" w:space="0" w:color="auto"/>
                              </w:divBdr>
                              <w:divsChild>
                                <w:div w:id="1247151970">
                                  <w:marLeft w:val="0"/>
                                  <w:marRight w:val="0"/>
                                  <w:marTop w:val="0"/>
                                  <w:marBottom w:val="0"/>
                                  <w:divBdr>
                                    <w:top w:val="none" w:sz="0" w:space="0" w:color="auto"/>
                                    <w:left w:val="none" w:sz="0" w:space="0" w:color="auto"/>
                                    <w:bottom w:val="none" w:sz="0" w:space="0" w:color="auto"/>
                                    <w:right w:val="none" w:sz="0" w:space="0" w:color="auto"/>
                                  </w:divBdr>
                                  <w:divsChild>
                                    <w:div w:id="31081315">
                                      <w:marLeft w:val="0"/>
                                      <w:marRight w:val="0"/>
                                      <w:marTop w:val="0"/>
                                      <w:marBottom w:val="0"/>
                                      <w:divBdr>
                                        <w:top w:val="none" w:sz="0" w:space="0" w:color="auto"/>
                                        <w:left w:val="none" w:sz="0" w:space="0" w:color="auto"/>
                                        <w:bottom w:val="none" w:sz="0" w:space="0" w:color="auto"/>
                                        <w:right w:val="none" w:sz="0" w:space="0" w:color="auto"/>
                                      </w:divBdr>
                                      <w:divsChild>
                                        <w:div w:id="1149395685">
                                          <w:marLeft w:val="0"/>
                                          <w:marRight w:val="0"/>
                                          <w:marTop w:val="0"/>
                                          <w:marBottom w:val="0"/>
                                          <w:divBdr>
                                            <w:top w:val="none" w:sz="0" w:space="0" w:color="auto"/>
                                            <w:left w:val="none" w:sz="0" w:space="0" w:color="auto"/>
                                            <w:bottom w:val="none" w:sz="0" w:space="0" w:color="auto"/>
                                            <w:right w:val="none" w:sz="0" w:space="0" w:color="auto"/>
                                          </w:divBdr>
                                          <w:divsChild>
                                            <w:div w:id="1613174330">
                                              <w:marLeft w:val="0"/>
                                              <w:marRight w:val="0"/>
                                              <w:marTop w:val="0"/>
                                              <w:marBottom w:val="0"/>
                                              <w:divBdr>
                                                <w:top w:val="none" w:sz="0" w:space="0" w:color="auto"/>
                                                <w:left w:val="none" w:sz="0" w:space="0" w:color="auto"/>
                                                <w:bottom w:val="none" w:sz="0" w:space="0" w:color="auto"/>
                                                <w:right w:val="none" w:sz="0" w:space="0" w:color="auto"/>
                                              </w:divBdr>
                                              <w:divsChild>
                                                <w:div w:id="32267710">
                                                  <w:marLeft w:val="0"/>
                                                  <w:marRight w:val="0"/>
                                                  <w:marTop w:val="0"/>
                                                  <w:marBottom w:val="0"/>
                                                  <w:divBdr>
                                                    <w:top w:val="none" w:sz="0" w:space="0" w:color="auto"/>
                                                    <w:left w:val="none" w:sz="0" w:space="0" w:color="auto"/>
                                                    <w:bottom w:val="none" w:sz="0" w:space="0" w:color="auto"/>
                                                    <w:right w:val="none" w:sz="0" w:space="0" w:color="auto"/>
                                                  </w:divBdr>
                                                  <w:divsChild>
                                                    <w:div w:id="1741711024">
                                                      <w:marLeft w:val="0"/>
                                                      <w:marRight w:val="0"/>
                                                      <w:marTop w:val="0"/>
                                                      <w:marBottom w:val="0"/>
                                                      <w:divBdr>
                                                        <w:top w:val="none" w:sz="0" w:space="0" w:color="auto"/>
                                                        <w:left w:val="none" w:sz="0" w:space="0" w:color="auto"/>
                                                        <w:bottom w:val="none" w:sz="0" w:space="0" w:color="auto"/>
                                                        <w:right w:val="none" w:sz="0" w:space="0" w:color="auto"/>
                                                      </w:divBdr>
                                                      <w:divsChild>
                                                        <w:div w:id="20454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0068683">
      <w:bodyDiv w:val="1"/>
      <w:marLeft w:val="0"/>
      <w:marRight w:val="0"/>
      <w:marTop w:val="0"/>
      <w:marBottom w:val="0"/>
      <w:divBdr>
        <w:top w:val="none" w:sz="0" w:space="0" w:color="auto"/>
        <w:left w:val="none" w:sz="0" w:space="0" w:color="auto"/>
        <w:bottom w:val="none" w:sz="0" w:space="0" w:color="auto"/>
        <w:right w:val="none" w:sz="0" w:space="0" w:color="auto"/>
      </w:divBdr>
    </w:div>
    <w:div w:id="1026516632">
      <w:bodyDiv w:val="1"/>
      <w:marLeft w:val="0"/>
      <w:marRight w:val="0"/>
      <w:marTop w:val="0"/>
      <w:marBottom w:val="0"/>
      <w:divBdr>
        <w:top w:val="none" w:sz="0" w:space="0" w:color="auto"/>
        <w:left w:val="none" w:sz="0" w:space="0" w:color="auto"/>
        <w:bottom w:val="none" w:sz="0" w:space="0" w:color="auto"/>
        <w:right w:val="none" w:sz="0" w:space="0" w:color="auto"/>
      </w:divBdr>
    </w:div>
    <w:div w:id="1137987118">
      <w:bodyDiv w:val="1"/>
      <w:marLeft w:val="0"/>
      <w:marRight w:val="0"/>
      <w:marTop w:val="0"/>
      <w:marBottom w:val="0"/>
      <w:divBdr>
        <w:top w:val="none" w:sz="0" w:space="0" w:color="auto"/>
        <w:left w:val="none" w:sz="0" w:space="0" w:color="auto"/>
        <w:bottom w:val="none" w:sz="0" w:space="0" w:color="auto"/>
        <w:right w:val="none" w:sz="0" w:space="0" w:color="auto"/>
      </w:divBdr>
    </w:div>
    <w:div w:id="1371034057">
      <w:bodyDiv w:val="1"/>
      <w:marLeft w:val="0"/>
      <w:marRight w:val="0"/>
      <w:marTop w:val="0"/>
      <w:marBottom w:val="0"/>
      <w:divBdr>
        <w:top w:val="none" w:sz="0" w:space="0" w:color="auto"/>
        <w:left w:val="none" w:sz="0" w:space="0" w:color="auto"/>
        <w:bottom w:val="none" w:sz="0" w:space="0" w:color="auto"/>
        <w:right w:val="none" w:sz="0" w:space="0" w:color="auto"/>
      </w:divBdr>
    </w:div>
    <w:div w:id="1465737409">
      <w:bodyDiv w:val="1"/>
      <w:marLeft w:val="0"/>
      <w:marRight w:val="0"/>
      <w:marTop w:val="0"/>
      <w:marBottom w:val="0"/>
      <w:divBdr>
        <w:top w:val="none" w:sz="0" w:space="0" w:color="auto"/>
        <w:left w:val="none" w:sz="0" w:space="0" w:color="auto"/>
        <w:bottom w:val="none" w:sz="0" w:space="0" w:color="auto"/>
        <w:right w:val="none" w:sz="0" w:space="0" w:color="auto"/>
      </w:divBdr>
    </w:div>
    <w:div w:id="1566910818">
      <w:bodyDiv w:val="1"/>
      <w:marLeft w:val="0"/>
      <w:marRight w:val="0"/>
      <w:marTop w:val="0"/>
      <w:marBottom w:val="0"/>
      <w:divBdr>
        <w:top w:val="none" w:sz="0" w:space="0" w:color="auto"/>
        <w:left w:val="none" w:sz="0" w:space="0" w:color="auto"/>
        <w:bottom w:val="none" w:sz="0" w:space="0" w:color="auto"/>
        <w:right w:val="none" w:sz="0" w:space="0" w:color="auto"/>
      </w:divBdr>
    </w:div>
    <w:div w:id="1635597497">
      <w:bodyDiv w:val="1"/>
      <w:marLeft w:val="0"/>
      <w:marRight w:val="0"/>
      <w:marTop w:val="0"/>
      <w:marBottom w:val="0"/>
      <w:divBdr>
        <w:top w:val="none" w:sz="0" w:space="0" w:color="auto"/>
        <w:left w:val="none" w:sz="0" w:space="0" w:color="auto"/>
        <w:bottom w:val="none" w:sz="0" w:space="0" w:color="auto"/>
        <w:right w:val="none" w:sz="0" w:space="0" w:color="auto"/>
      </w:divBdr>
    </w:div>
    <w:div w:id="1655253694">
      <w:bodyDiv w:val="1"/>
      <w:marLeft w:val="0"/>
      <w:marRight w:val="0"/>
      <w:marTop w:val="0"/>
      <w:marBottom w:val="0"/>
      <w:divBdr>
        <w:top w:val="none" w:sz="0" w:space="0" w:color="auto"/>
        <w:left w:val="none" w:sz="0" w:space="0" w:color="auto"/>
        <w:bottom w:val="none" w:sz="0" w:space="0" w:color="auto"/>
        <w:right w:val="none" w:sz="0" w:space="0" w:color="auto"/>
      </w:divBdr>
    </w:div>
    <w:div w:id="2078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hyperlink" Target="http://www.acma.gov.au" TargetMode="Externa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periodicdisclosures.aec.gov.au/" TargetMode="External"/><Relationship Id="rId42" Type="http://schemas.openxmlformats.org/officeDocument/2006/relationships/header" Target="header1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creativecommons.org/l/by/3.0/88x31.png" TargetMode="Externa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www.legislation.gov.au" TargetMode="External"/><Relationship Id="rId38" Type="http://schemas.openxmlformats.org/officeDocument/2006/relationships/hyperlink" Target="http://www.acma.gov.a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https://www.legislation.gov.au/Series/C2004A04401" TargetMode="Externa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yperlink" Target="http://www.aec.gov.au" TargetMode="External"/><Relationship Id="rId37" Type="http://schemas.openxmlformats.org/officeDocument/2006/relationships/hyperlink" Target="http://www.acma.gov.au" TargetMode="External"/><Relationship Id="rId40" Type="http://schemas.openxmlformats.org/officeDocument/2006/relationships/hyperlink" Target="http://www.acma.gov.au" TargetMode="External"/><Relationship Id="rId45"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yperlink" Target="mailto:info@acma.gov.au" TargetMode="External"/><Relationship Id="rId23" Type="http://schemas.openxmlformats.org/officeDocument/2006/relationships/footer" Target="footer4.xml"/><Relationship Id="rId28" Type="http://schemas.openxmlformats.org/officeDocument/2006/relationships/hyperlink" Target="https://www.legislation.gov.au/Details/C2018C00086" TargetMode="External"/><Relationship Id="rId36" Type="http://schemas.openxmlformats.org/officeDocument/2006/relationships/hyperlink" Target="http://www.acma.gov.au" TargetMode="Externa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yperlink" Target="https://www.legislation.gov.au/Details/F2011L01778"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reativecommons.org/licenses/by/4.0/" TargetMode="External"/><Relationship Id="rId22" Type="http://schemas.openxmlformats.org/officeDocument/2006/relationships/header" Target="header8.xml"/><Relationship Id="rId27" Type="http://schemas.openxmlformats.org/officeDocument/2006/relationships/hyperlink" Target="https://www.legislation.gov.au/Details/C2018C00079" TargetMode="External"/><Relationship Id="rId30" Type="http://schemas.openxmlformats.org/officeDocument/2006/relationships/hyperlink" Target="https://www.acma.gov.au/Citizen/TV-Radio/Broadcasting-complaints2/Broadcast-complaints/broadcasting-complaints" TargetMode="External"/><Relationship Id="rId35" Type="http://schemas.openxmlformats.org/officeDocument/2006/relationships/hyperlink" Target="http://www.aec.gov.au" TargetMode="External"/><Relationship Id="rId43"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aph.gov.au/About_Parliament/Parliamentary_Departments/Parliamentary_Library/pubs/rp/RP9798/98RP1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ACMA-System\Templates\ACMA\ACMA_DiscussionOrConsultationPaper_Word2013%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C4FE0-BFDE-4AE7-9B78-EB50C105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ACMA_DiscussionOrConsultationPaper_Word2013 2018</Template>
  <TotalTime>10</TotalTime>
  <Pages>22</Pages>
  <Words>6364</Words>
  <Characters>36277</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Antonny Ivancic</dc:creator>
  <cp:keywords/>
  <dc:description/>
  <cp:lastModifiedBy>Antonny Ivancic</cp:lastModifiedBy>
  <cp:revision>4</cp:revision>
  <cp:lastPrinted>2018-11-30T00:00:00Z</cp:lastPrinted>
  <dcterms:created xsi:type="dcterms:W3CDTF">2019-06-23T23:23:00Z</dcterms:created>
  <dcterms:modified xsi:type="dcterms:W3CDTF">2019-08-22T00:09:00Z</dcterms:modified>
  <cp:category/>
</cp:coreProperties>
</file>